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85" w:rsidRDefault="00F667C6" w:rsidP="00F667C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57F8F3D626A4779B75E5BDB3CEA9C36" style="width:450.7pt;height:352.05pt">
            <v:imagedata r:id="rId8" o:title=""/>
          </v:shape>
        </w:pict>
      </w:r>
    </w:p>
    <w:p w:rsidR="00D06185" w:rsidRDefault="00D06185">
      <w:pPr>
        <w:rPr>
          <w:noProof/>
        </w:rPr>
        <w:sectPr w:rsidR="00D06185" w:rsidSect="00F667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06185" w:rsidRDefault="00D06185">
      <w:pPr>
        <w:pStyle w:val="Exposdesmotifstitre"/>
        <w:rPr>
          <w:noProof/>
        </w:rPr>
      </w:pPr>
    </w:p>
    <w:p w:rsidR="00D06185" w:rsidRDefault="00D06185">
      <w:pPr>
        <w:rPr>
          <w:noProof/>
        </w:rPr>
      </w:pPr>
    </w:p>
    <w:p w:rsidR="00D06185" w:rsidRDefault="00F667C6" w:rsidP="00F667C6">
      <w:pPr>
        <w:pStyle w:val="Statut"/>
        <w:rPr>
          <w:noProof/>
        </w:rPr>
      </w:pPr>
      <w:r w:rsidRPr="00F667C6">
        <w:t xml:space="preserve">Recomendação </w:t>
      </w:r>
      <w:proofErr w:type="gramStart"/>
      <w:r w:rsidRPr="00F667C6">
        <w:t>de</w:t>
      </w:r>
      <w:proofErr w:type="gramEnd"/>
    </w:p>
    <w:p w:rsidR="00D06185" w:rsidRDefault="00F667C6" w:rsidP="00F667C6">
      <w:pPr>
        <w:pStyle w:val="Typedudocument"/>
        <w:rPr>
          <w:noProof/>
        </w:rPr>
      </w:pPr>
      <w:r w:rsidRPr="00F667C6">
        <w:t>RECOMENDAÇÃO DO CONSELHO</w:t>
      </w:r>
    </w:p>
    <w:p w:rsidR="00D06185" w:rsidRDefault="00F667C6" w:rsidP="00F667C6">
      <w:pPr>
        <w:pStyle w:val="Titreobjet"/>
        <w:rPr>
          <w:noProof/>
        </w:rPr>
      </w:pPr>
      <w:proofErr w:type="gramStart"/>
      <w:r w:rsidRPr="00F667C6">
        <w:t>relativa</w:t>
      </w:r>
      <w:proofErr w:type="gramEnd"/>
      <w:r w:rsidRPr="00F667C6">
        <w:t xml:space="preserve"> ao Programa Nacional de Reformas da Bulgária para 2017 </w:t>
      </w:r>
      <w:r w:rsidRPr="00F667C6">
        <w:br/>
      </w:r>
      <w:proofErr w:type="gramStart"/>
      <w:r w:rsidRPr="00F667C6">
        <w:t>e</w:t>
      </w:r>
      <w:proofErr w:type="gramEnd"/>
      <w:r w:rsidRPr="00F667C6">
        <w:t xml:space="preserve"> que formula um parecer do Conselho sobre o Programa de Convergência da Bulgária para 2017</w:t>
      </w:r>
    </w:p>
    <w:p w:rsidR="00D06185" w:rsidRDefault="00F667C6">
      <w:pPr>
        <w:pStyle w:val="Institutionquiagit"/>
        <w:rPr>
          <w:noProof/>
        </w:rPr>
      </w:pPr>
      <w:r>
        <w:rPr>
          <w:noProof/>
        </w:rPr>
        <w:t>O CONSELHO DA UNIÃO EUROPEIA,</w:t>
      </w:r>
    </w:p>
    <w:p w:rsidR="00D06185" w:rsidRDefault="00F667C6">
      <w:pPr>
        <w:rPr>
          <w:noProof/>
        </w:rPr>
      </w:pPr>
      <w:r>
        <w:rPr>
          <w:noProof/>
        </w:rPr>
        <w:t>Tendo em conta o Tratado sobre o Funcionamento da União Europeia, nom</w:t>
      </w:r>
      <w:r>
        <w:rPr>
          <w:noProof/>
        </w:rPr>
        <w:t>eadamente o artigo 121.º, n.º 2, e o artigo 148.º, n.º 4,</w:t>
      </w:r>
    </w:p>
    <w:p w:rsidR="00D06185" w:rsidRDefault="00F667C6">
      <w:pPr>
        <w:rPr>
          <w:noProof/>
        </w:rPr>
      </w:pPr>
      <w:r>
        <w:rPr>
          <w:noProof/>
        </w:rPr>
        <w:t>Tendo em conta o Regulamento (CE) n.º 1466/97 do Conselho, de 7 de julho de 1997, relativo ao reforço da supervisão das situações orçamentais e à supervisão e coordenação das políticas económicas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</w:t>
      </w:r>
      <w:r>
        <w:rPr>
          <w:noProof/>
        </w:rPr>
        <w:t>nomeadamente o artigo 9.º, n.º 2,</w:t>
      </w:r>
    </w:p>
    <w:p w:rsidR="00D06185" w:rsidRDefault="00F667C6">
      <w:pPr>
        <w:rPr>
          <w:noProof/>
        </w:rPr>
      </w:pPr>
      <w:r>
        <w:rPr>
          <w:noProof/>
        </w:rPr>
        <w:t>Tendo em conta o Regulamento (UE) n.º 1176/2011 do Parlamento Europeu e do Conselho, de 16 de novembro de 2011, sobre prevenção e correção dos desequilíbrios macroeconómicos</w:t>
      </w:r>
      <w:r>
        <w:rPr>
          <w:rStyle w:val="FootnoteReference"/>
          <w:noProof/>
        </w:rPr>
        <w:footnoteReference w:id="3"/>
      </w:r>
      <w:r>
        <w:rPr>
          <w:noProof/>
        </w:rPr>
        <w:t>, nomeadamente o artigo 6.º, n.º 1,</w:t>
      </w:r>
    </w:p>
    <w:p w:rsidR="00D06185" w:rsidRDefault="00F667C6">
      <w:pPr>
        <w:rPr>
          <w:noProof/>
        </w:rPr>
      </w:pPr>
      <w:r>
        <w:rPr>
          <w:noProof/>
        </w:rPr>
        <w:t>Tendo em con</w:t>
      </w:r>
      <w:r>
        <w:rPr>
          <w:noProof/>
        </w:rPr>
        <w:t>ta a recomendação da Comissão Europeia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 w:rsidR="00D06185" w:rsidRDefault="00F667C6">
      <w:pPr>
        <w:rPr>
          <w:noProof/>
        </w:rPr>
      </w:pPr>
      <w:r>
        <w:rPr>
          <w:noProof/>
        </w:rPr>
        <w:t>Tendo em conta as resoluções do Parlamento Europeu</w:t>
      </w:r>
      <w:r>
        <w:rPr>
          <w:rStyle w:val="FootnoteReference"/>
          <w:noProof/>
        </w:rPr>
        <w:footnoteReference w:id="5"/>
      </w:r>
      <w:r>
        <w:rPr>
          <w:noProof/>
        </w:rPr>
        <w:t>,</w:t>
      </w:r>
    </w:p>
    <w:p w:rsidR="00D06185" w:rsidRDefault="00F667C6">
      <w:pPr>
        <w:outlineLvl w:val="0"/>
        <w:rPr>
          <w:noProof/>
        </w:rPr>
      </w:pPr>
      <w:r>
        <w:rPr>
          <w:noProof/>
        </w:rPr>
        <w:t>Tendo em conta as conclusões do Conselho Europeu,</w:t>
      </w:r>
    </w:p>
    <w:p w:rsidR="00D06185" w:rsidRDefault="00F667C6">
      <w:pPr>
        <w:rPr>
          <w:noProof/>
        </w:rPr>
      </w:pPr>
      <w:r>
        <w:rPr>
          <w:noProof/>
        </w:rPr>
        <w:t>Tendo em conta o parecer do Comité do Emprego,</w:t>
      </w:r>
    </w:p>
    <w:p w:rsidR="00D06185" w:rsidRDefault="00F667C6">
      <w:pPr>
        <w:rPr>
          <w:noProof/>
        </w:rPr>
      </w:pPr>
      <w:r>
        <w:rPr>
          <w:noProof/>
        </w:rPr>
        <w:t>Tendo em conta o parecer do Comité Económico e Financeiro,</w:t>
      </w:r>
    </w:p>
    <w:p w:rsidR="00D06185" w:rsidRDefault="00F667C6">
      <w:pPr>
        <w:rPr>
          <w:noProof/>
        </w:rPr>
      </w:pPr>
      <w:r>
        <w:rPr>
          <w:noProof/>
        </w:rPr>
        <w:t xml:space="preserve">Tendo </w:t>
      </w:r>
      <w:r>
        <w:rPr>
          <w:noProof/>
        </w:rPr>
        <w:t>em conta o parecer do Comité da Proteção Social,</w:t>
      </w:r>
    </w:p>
    <w:p w:rsidR="00D06185" w:rsidRDefault="00F667C6">
      <w:pPr>
        <w:rPr>
          <w:noProof/>
        </w:rPr>
      </w:pPr>
      <w:r>
        <w:rPr>
          <w:noProof/>
        </w:rPr>
        <w:t>Tendo em conta o parecer do Comité de Política Económica,</w:t>
      </w:r>
    </w:p>
    <w:p w:rsidR="00D06185" w:rsidRDefault="00F667C6">
      <w:pPr>
        <w:rPr>
          <w:noProof/>
        </w:rPr>
      </w:pPr>
      <w:r>
        <w:rPr>
          <w:noProof/>
        </w:rPr>
        <w:t>Considerando o seguinte:</w:t>
      </w:r>
    </w:p>
    <w:p w:rsidR="00D06185" w:rsidRDefault="00F667C6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Em 16 de novembro de 2016, a Comissão adotou a Análise Anual do Crescimento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assinalando o início do Semestre Europeu de </w:t>
      </w:r>
      <w:r>
        <w:rPr>
          <w:noProof/>
        </w:rPr>
        <w:t>2017 para a coordenação das políticas económicas. As prioridades da Análise Anual do Crescimento foram aprovadas pelo Conselho Europeu de 9 e 10 de março de 2017. Em 16 de novembro de 2016, com base no Regulamento (UE) n.º 1176/2011, a Comissão adotou o Re</w:t>
      </w:r>
      <w:r>
        <w:rPr>
          <w:noProof/>
        </w:rPr>
        <w:t>latório sobre o Mecanismo de Alerta</w:t>
      </w:r>
      <w:r>
        <w:rPr>
          <w:rStyle w:val="FootnoteReference"/>
          <w:noProof/>
        </w:rPr>
        <w:footnoteReference w:id="7"/>
      </w:r>
      <w:r>
        <w:rPr>
          <w:noProof/>
        </w:rPr>
        <w:t>, no qual identificava a Bulgária como um dos Estados</w:t>
      </w:r>
      <w:r>
        <w:rPr>
          <w:noProof/>
        </w:rPr>
        <w:noBreakHyphen/>
        <w:t xml:space="preserve">Membros que deveriam ser objeto de uma apreciação aprofundada. </w:t>
      </w:r>
    </w:p>
    <w:p w:rsidR="00D06185" w:rsidRDefault="00F667C6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O relatório de 2017 relativo à Bulgária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foi publicado em 22 de fevereiro de 2017. Nele se avaliavam o</w:t>
      </w:r>
      <w:r>
        <w:rPr>
          <w:noProof/>
        </w:rPr>
        <w:t>s progressos realizados pela Bulgária em resposta às recomendações específicas por país adotadas pelo Conselho em 12 de julho de 2016, o seguimento dado às recomendações formuladas em anos anteriores e os progressos alcançados na consecução dos seus objeti</w:t>
      </w:r>
      <w:r>
        <w:rPr>
          <w:noProof/>
        </w:rPr>
        <w:t>vos nacionais no âmbito da estratégia Europa 2020. O relatório incluía igualmente a apreciação aprofundada prevista nos termos do artigo 5.º do Regulamento (UE) n.º 1176/2011, cujos resultados foram também publicados em 22 de fevereiro de 2017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A análise </w:t>
      </w:r>
      <w:r>
        <w:rPr>
          <w:noProof/>
        </w:rPr>
        <w:t xml:space="preserve">da Comissão levou-a a concluir que a Bulgária regista desequilíbrios macroeconómicos excessivos. Em especial, o país continua a padecer de desequilíbrios associados às fragilidades remanescentes no setor financeiro e a um grande endividamento das empresas </w:t>
      </w:r>
      <w:r>
        <w:rPr>
          <w:noProof/>
        </w:rPr>
        <w:t xml:space="preserve">num contexto de elevado desemprego. </w:t>
      </w:r>
    </w:p>
    <w:p w:rsidR="00D06185" w:rsidRDefault="00F667C6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A Bulgária não apresentou os respetivos Programa Nacional de Reformas e Programa de Convergência para 2017 dentro do prazo devido.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As recomendações específicas por país pertinentes foram tidas em conta nos programas dos</w:t>
      </w:r>
      <w:r>
        <w:rPr>
          <w:noProof/>
        </w:rPr>
        <w:t xml:space="preserve"> Estados-Membros referentes aos Fundos Europeus Estruturais e de Investimento (FEEI) que abrangem o período de 2014-2020. Tal como previsto na legislação que rege os FEEI</w:t>
      </w:r>
      <w:r>
        <w:rPr>
          <w:rStyle w:val="FootnoteReference"/>
          <w:noProof/>
        </w:rPr>
        <w:footnoteReference w:id="10"/>
      </w:r>
      <w:r>
        <w:rPr>
          <w:noProof/>
        </w:rPr>
        <w:t>, sempre que seja necessário para apoiar a execução das recomendações específicas por</w:t>
      </w:r>
      <w:r>
        <w:rPr>
          <w:noProof/>
        </w:rPr>
        <w:t xml:space="preserve"> país, a Comissão pode pedir a um Estado-Membro que reveja e altere os seus programas dos FEIE relevantes. A Comissão emitiu novas orientações sobre a aplicação dessas regras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A Bulgária encontra-se atualmente sujeita à vertente preventiva do Pacto de Est</w:t>
      </w:r>
      <w:r>
        <w:rPr>
          <w:noProof/>
        </w:rPr>
        <w:t xml:space="preserve">abilidade e Crescimento. O Governo não apresentou o seu Programa de Convergência para 2017 dentro do prazo fixado pelo Regulamento (CE) n.º 1466/97. 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Em 12 de julho de 2016, o Conselho recomendou à Bulgária que fizesse um ajustamento orçamental anual de 0,</w:t>
      </w:r>
      <w:r>
        <w:rPr>
          <w:noProof/>
        </w:rPr>
        <w:t>5 % do PIB para poder cumprir a meta orçamental de médio prazo. Os dados relativos à execução indicam que a Bulgária já atingiu a sua meta orçamental de médio prazo em 2016. Com base nas previsões da primavera de 2017 da Comissão, o saldo estrutural deverá</w:t>
      </w:r>
      <w:r>
        <w:rPr>
          <w:noProof/>
        </w:rPr>
        <w:t xml:space="preserve"> sofrer uma deterioração, passando de um excedente de 0,1% do PIB em 2016 para um défice de 0,4% do PIB em 2017 e de 0,3% em 2018, num pressuposto de políticas inalteradas. Não obstante esta deterioração, prevê-se que o saldo estrutural se mantenha acima d</w:t>
      </w:r>
      <w:r>
        <w:rPr>
          <w:noProof/>
        </w:rPr>
        <w:t>a meta orçamental de médio prazo em ambos os anos. Em termos gerais, o Conselho considera que a Bulgária deverá cumprir o disposto no Pacto de Estabilidade e Crescimento em 2017 e 2018.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Estão em curso esforços para melhorar a cobrança de impostos. Apesar d</w:t>
      </w:r>
      <w:r>
        <w:rPr>
          <w:noProof/>
        </w:rPr>
        <w:t>as melhorias registadas, o cumprimento das obrigações fiscais continua a ser um desafio. A economia paralela e o trabalho não declarado continuam a ser elevados. Os encargos administrativos em matéria fiscal são significativos. As medidas destinadas a redu</w:t>
      </w:r>
      <w:r>
        <w:rPr>
          <w:noProof/>
        </w:rPr>
        <w:t>zir a burocracia parecem ter produzido resultados limitados até à data e não há indicações de melhorias importantes no cumprimento voluntário das obrigações fiscais. Nestas circunstâncias, a aplicação efetiva das regras parece ser essencial não só para a r</w:t>
      </w:r>
      <w:r>
        <w:rPr>
          <w:noProof/>
        </w:rPr>
        <w:t>ealização de controlos, mas também para o reforço da prevenção da evasão fiscal. O plano de ação anexo à estratégia nacional para 2015-2017 para a melhoria da cobrança de impostos, que pretende dar resposta ao problema da economia paralela e reduzir os cus</w:t>
      </w:r>
      <w:r>
        <w:rPr>
          <w:noProof/>
        </w:rPr>
        <w:t xml:space="preserve">tos de conformidade, parece ser um instrumento útil, em especial para avaliar e melhorar a coordenação e a eficiência de vários órgãos da administração pública que operam no domínio fiscal. Uma análise </w:t>
      </w:r>
      <w:r>
        <w:rPr>
          <w:i/>
          <w:noProof/>
        </w:rPr>
        <w:t>ex post</w:t>
      </w:r>
      <w:r>
        <w:rPr>
          <w:noProof/>
        </w:rPr>
        <w:t xml:space="preserve"> dos efeitos das medidas específicas poderá contribuir para uma avaliação adequada das mesmas, bem como para a planificação e a orientação de futuras medidas em matéria de cumprimento das obrigações fiscais. Estas medidas irão substituir a atual estratégia</w:t>
      </w:r>
      <w:r>
        <w:rPr>
          <w:noProof/>
        </w:rPr>
        <w:t xml:space="preserve">, que chega ao termo no final de 2017.  </w:t>
      </w:r>
    </w:p>
    <w:p w:rsidR="00D06185" w:rsidRDefault="00F667C6">
      <w:pPr>
        <w:pStyle w:val="Point0number"/>
        <w:rPr>
          <w:i/>
          <w:noProof/>
        </w:rPr>
      </w:pPr>
      <w:r>
        <w:rPr>
          <w:noProof/>
        </w:rPr>
        <w:t xml:space="preserve">As autoridades, em consulta e cooperação com os organismos europeus competentes, realizaram análises da qualidade dos ativos e testes de esforço dos setores da banca e dos seguros, assim como uma análise dos ativos </w:t>
      </w:r>
      <w:r>
        <w:rPr>
          <w:noProof/>
        </w:rPr>
        <w:t>dos fundos de pensões. Embora os resultados tenham reiterado, de um modo geral, a solidez destes setores, foram confirmados focos de vulnerabilidades, nomeadamente em algumas instituições importantes do ponto de vista sistémico. Como as medidas de seguimen</w:t>
      </w:r>
      <w:r>
        <w:rPr>
          <w:noProof/>
        </w:rPr>
        <w:t>to não foram ainda totalmente implementadas, persiste a fonte de vulnerabilidade. Além disso, alguns problemas, designadamente a valorização dos instrumentos financeiros ilíquidos e dos ativos, bem como as exposições a partes relacionadas, não foram totalm</w:t>
      </w:r>
      <w:r>
        <w:rPr>
          <w:noProof/>
        </w:rPr>
        <w:t>ente equacionados nas três análises. As autoridades de supervisão poderiam adotar uma abordagem mais conservadora na abordagem destas questões. Problemas pendentes no setor dos seguros incluem também o tratamento de determinados contratos de resseguro, alg</w:t>
      </w:r>
      <w:r>
        <w:rPr>
          <w:noProof/>
        </w:rPr>
        <w:t>uns créditos e supervisão a nível dos grupos.</w:t>
      </w:r>
    </w:p>
    <w:p w:rsidR="00D06185" w:rsidRDefault="00F667C6">
      <w:pPr>
        <w:pStyle w:val="Point0number"/>
        <w:rPr>
          <w:i/>
          <w:noProof/>
        </w:rPr>
      </w:pPr>
      <w:r>
        <w:rPr>
          <w:noProof/>
        </w:rPr>
        <w:t>Para fazer face à possibilidade de reemergência de desequilíbrios semelhantes no futuro, é necessário concluir as medidas destinadas a melhorar a supervisão bancária e continuar a desenvolver esforços para melh</w:t>
      </w:r>
      <w:r>
        <w:rPr>
          <w:noProof/>
        </w:rPr>
        <w:t>orar a supervisão do setor não bancário. Os ativos de difícil avaliação e as práticas empresariais antiéticas, incluindo os empréstimos a partes relacionadas e entidades associadas, continuam a ser os principais desafios para as autoridades. O Banco Nacion</w:t>
      </w:r>
      <w:r>
        <w:rPr>
          <w:noProof/>
        </w:rPr>
        <w:t>al da Bulgária lançou um plano para reestruturar e desenvolver a supervisão bancária, com base, nomeadamente, nas conclusões do Banco Mundial e do FMI. Este plano está atualmente a ser implementado, mas poderá ter de ser alterado à luz das conclusões do pr</w:t>
      </w:r>
      <w:r>
        <w:rPr>
          <w:noProof/>
        </w:rPr>
        <w:t>ograma de avaliação do setor financeiro. As deficiências na supervisão evidenciadas pelas análises do setor dos seguros e dos fundos de pensões destacam a necessidade de a Comissão de Supervisão Financeira desenvolver e aplicar um plano global de reforço d</w:t>
      </w:r>
      <w:r>
        <w:rPr>
          <w:noProof/>
        </w:rPr>
        <w:t>a supervisão, nomeadamente mediante a melhoria da sua governação interna e funcionamento. A fim de assegurar a plena credibilidade, um plano deste tipo deverá assentar nas melhores práticas internacionais neste domínio e ser elaborado e implementado em est</w:t>
      </w:r>
      <w:r>
        <w:rPr>
          <w:noProof/>
        </w:rPr>
        <w:t xml:space="preserve">reita cooperação com as instituições europeias e, se for necessário, com o contributo de terceiros prestadores de serviços.  </w:t>
      </w:r>
    </w:p>
    <w:p w:rsidR="00D06185" w:rsidRDefault="00F667C6">
      <w:pPr>
        <w:pStyle w:val="Point0number"/>
        <w:rPr>
          <w:i/>
          <w:noProof/>
        </w:rPr>
      </w:pPr>
      <w:r>
        <w:rPr>
          <w:noProof/>
        </w:rPr>
        <w:t>O endividamento das empresas continua a ser elevado (muito superior ao de países análogos), pesando nos balanços das empresas e re</w:t>
      </w:r>
      <w:r>
        <w:rPr>
          <w:noProof/>
        </w:rPr>
        <w:t>stringindo potencialmente a procura de crédito e o investimento a médio prazo. Para reduzir o nível ainda elevado de crédito em incumprimento das empresas, as autoridades deverão facilitar o processo de saneamento dos bancos, recorrendo a um conjunto de vá</w:t>
      </w:r>
      <w:r>
        <w:rPr>
          <w:noProof/>
        </w:rPr>
        <w:t>rios instrumentos. Poderão fazê-lo, a título de exemplo, mediante a intensificação da reforma do quadro da insolvência, que deverá melhorar o contexto jurídico para solucionar o problema da dívida incobrável e proporcionar oportunidades de reestruturação e</w:t>
      </w:r>
      <w:r>
        <w:rPr>
          <w:noProof/>
        </w:rPr>
        <w:t>xtrajudicial. Para além do quadro de insolvência, o conjunto de instrumentos poderá incluir orientações de supervisão destinadas aos bancos com níveis particularmente elevados de empréstimos de má qualidade. Desta forma, seria reforçada a transparência dos</w:t>
      </w:r>
      <w:r>
        <w:rPr>
          <w:noProof/>
        </w:rPr>
        <w:t xml:space="preserve"> dados sobre a qualidade dos ativos e aprofundado o mercado secundário de crédito em incumprimento.  </w:t>
      </w:r>
    </w:p>
    <w:p w:rsidR="00D06185" w:rsidRDefault="00F667C6">
      <w:pPr>
        <w:pStyle w:val="Point0number"/>
        <w:rPr>
          <w:bCs/>
          <w:noProof/>
        </w:rPr>
      </w:pPr>
      <w:r>
        <w:rPr>
          <w:noProof/>
        </w:rPr>
        <w:t>A evolução recente do mercado de trabalho tem sido positiva, mas persistem problemas estruturais. O mercado de trabalho continua em retração em virtude do</w:t>
      </w:r>
      <w:r>
        <w:rPr>
          <w:noProof/>
        </w:rPr>
        <w:t xml:space="preserve"> envelhecimento demográfico conjugado com a emigração. Porque a economia está a passar por mudanças estruturais, é fundamental explorar o potencial de mão de obra não utilizada. Atualmente, o mercado de trabalho caracteriza-se por níveis elevados de desemp</w:t>
      </w:r>
      <w:r>
        <w:rPr>
          <w:noProof/>
        </w:rPr>
        <w:t>rego de longa duração e inatividade, pela limitada inclusão dos jovens no mercado de trabalho e pela escassez e inadequações de competências. Embora a taxa de desemprego tenha caído para níveis inferiores à média da UE em 2016, a proporção de desempregados</w:t>
      </w:r>
      <w:r>
        <w:rPr>
          <w:noProof/>
        </w:rPr>
        <w:t xml:space="preserve"> de longa duração e a taxa de jovens que não trabalham, não estudam, nem seguem qualquer formação, associadas a uma modesta taxa de emprego das pessoas pouco qualificadas, continuam a constituir problemas importantes. Face a estes desafios, as políticas at</w:t>
      </w:r>
      <w:r>
        <w:rPr>
          <w:noProof/>
        </w:rPr>
        <w:t>ivas do mercado de trabalho não se focalizam suficientemente nos grupos desfavorecidos e respetivas necessidades, o que dificulta a sua empregabilidade. Além disso, no que respeita aos beneficiários de prestações sociais, a insuficiente integração dos serv</w:t>
      </w:r>
      <w:r>
        <w:rPr>
          <w:noProof/>
        </w:rPr>
        <w:t>iços sociais e de emprego pode restringir a sua participação no mercado de trabalho.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A melhoria dos resultados escolares e o reforço da oferta de um ensino geral inclusivo e de qualidade continuam a constituir desafios, com potenciais consequências em term</w:t>
      </w:r>
      <w:r>
        <w:rPr>
          <w:noProof/>
        </w:rPr>
        <w:t>os de pobreza. Ainda que o risco de pobreza ou exclusão social das crianças tenha diminuído ligeiramente, continua a ser um dos mais elevados na UE e está fortemente associado ao nível de habilitações dos pais. Segundo o estudo PISA 2015 que avalia a profi</w:t>
      </w:r>
      <w:r>
        <w:rPr>
          <w:noProof/>
        </w:rPr>
        <w:t>ciência em competências básicas, a proporção de casos de insucesso em leitura, matemática e ciências continua a ser uma das mais elevadas da UE. A metodologia preconizada para melhorar o financiamento das escolas, e que visa favorecer resultados mais equit</w:t>
      </w:r>
      <w:r>
        <w:rPr>
          <w:noProof/>
        </w:rPr>
        <w:t>ativos através de apoios adicionais a escolas com fracos desempenhos, está ainda por desenvolver. As crianças de famílias com estatuto socioeconómico mais baixo, nomeadamente famílias ciganas, não beneficiam de oportunidades educativas iguais, nomeadamente</w:t>
      </w:r>
      <w:r>
        <w:rPr>
          <w:noProof/>
        </w:rPr>
        <w:t xml:space="preserve"> na pequena infância. O sistema de educação e formação profissionais está a ser objeto de reforma, mas peca pela falta de qualidade e cooperação com as empresas e os parceiros sociais. O ensino dual continua a ser desenvolvido. No ensino superior, optou-se</w:t>
      </w:r>
      <w:r>
        <w:rPr>
          <w:noProof/>
        </w:rPr>
        <w:t xml:space="preserve"> pelo financiamento baseado no desempenho para melhorar a qualidade e a relevância para o mercado de trabalho.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No que respeita ao sistema de saúde, a limitada acessibilidade, o escasso financiamento, a emigração de profissionais e os fracos resultados em m</w:t>
      </w:r>
      <w:r>
        <w:rPr>
          <w:noProof/>
        </w:rPr>
        <w:t>atéria de saúde continuam a ser os principais desafios. A reduzida cobertura dos seguros de saúde, incluindo a insuficiente cobertura pública de serviços ambulatórios e os avultados pagamentos diretos, dificultam o acesso de algumas pessoas aos cuidados de</w:t>
      </w:r>
      <w:r>
        <w:rPr>
          <w:noProof/>
        </w:rPr>
        <w:t xml:space="preserve"> saúde. Certas medidas adotadas recentemente, tais como contratação seletiva de serviços hospitalares com base no mapa nacional de saúde, podem, se aplicadas com rigor, melhorar o acesso aos cuidados de saúde.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O salário mínimo na Bulgária, sendo ainda o ma</w:t>
      </w:r>
      <w:r>
        <w:rPr>
          <w:noProof/>
        </w:rPr>
        <w:t>is baixo da UE, aumentou substancialmente desde 2011. Pese embora um acordo entre os parceiros sociais relativamente aos critérios para a criação de um mecanismo objetivo, os progressos nessa frente são limitados. A ausência de um mecanismo transparente, q</w:t>
      </w:r>
      <w:r>
        <w:rPr>
          <w:noProof/>
        </w:rPr>
        <w:t>ue tenha em conta critérios económicos e sociais, as condições do mercado de trabalho e a dimensão institucional na sua aplicação, pode pôr em risco o desejado equilíbrio entre os objetivos de apoiar o emprego e a competitividade e, simultaneamente, salvag</w:t>
      </w:r>
      <w:r>
        <w:rPr>
          <w:noProof/>
        </w:rPr>
        <w:t>uardar os rendimentos do trabalho. Apesar de algumas tensões entre os parceiros sociais resultantes no fracasso das negociações relativas aos limiares mínimos de segurança social para 2017, o diálogo social no país continua a funcionar.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A elevada percentag</w:t>
      </w:r>
      <w:r>
        <w:rPr>
          <w:noProof/>
        </w:rPr>
        <w:t>em de pessoas que vivem em risco de pobreza ou de exclusão social continua a ser um grande desafio económico e social. A Bulgária continua a ser o Estado-Membro da UE com maior índice de pobreza que atinge de forma desproporcionada os grupos mais desfavore</w:t>
      </w:r>
      <w:r>
        <w:rPr>
          <w:noProof/>
        </w:rPr>
        <w:t>cidos, como os ciganos, as crianças, os idosos e as pessoas que vivem em zonas rurais. Após vários anos de melhorias sustentadas, a taxa de risco de pobreza dos idosos deteriorou-se substancialmente. As mulheres idosas correm um risco particularmente eleva</w:t>
      </w:r>
      <w:r>
        <w:rPr>
          <w:noProof/>
        </w:rPr>
        <w:t>do de pobreza ou exclusão social em virtude de o seu período de contribuição para o regime de pensões ser, de um modo geral, mais curto. Embora a situação da pobreza relativa das crianças tenha melhorado, os níveis de pobreza neste grupo mantêm-se muito el</w:t>
      </w:r>
      <w:r>
        <w:rPr>
          <w:noProof/>
        </w:rPr>
        <w:t>evados. A dinâmica de desinstitucionalização das crianças mantém-se não obstante a adoção do novo plano de ação. O processo ainda está atrasado no caso dos adultos e das pessoas com deficiência. As desigualdades de rendimento constituem um importante probl</w:t>
      </w:r>
      <w:r>
        <w:rPr>
          <w:noProof/>
        </w:rPr>
        <w:t>ema que assume proporções crescentes. O rácio do rendimento dos 20 % dos agregados familiares mais ricos e dos 20 % mais pobres aumentou de 6,1 em 2012 para 7,1 em 2015 e é um dos mais elevados na UE. A diferença entre a desigualdade de rendimentos antes e</w:t>
      </w:r>
      <w:r>
        <w:rPr>
          <w:noProof/>
        </w:rPr>
        <w:t xml:space="preserve"> depois de impostos e transferências sociais na Bulgária é das menores na UE. O sistema de proteção social, incluindo o regime geral de rendimento mínimo (que consiste em prestações mensais de assistência social e subsídios de aquecimento), não assegura um</w:t>
      </w:r>
      <w:r>
        <w:rPr>
          <w:noProof/>
        </w:rPr>
        <w:t xml:space="preserve"> nível adequado de assistência. A cobertura das pessoas beneficiárias de prestações sociais continua a ser reduzida, facto que fica a dever-se a critérios de elegibilidade muito restritivos. O nível do rendimento mínimo continua a ser baixo e não é atualiz</w:t>
      </w:r>
      <w:r>
        <w:rPr>
          <w:noProof/>
        </w:rPr>
        <w:t>ado desde 2009, não havendo um mecanismo transparente de ajustamento.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As medidas destinadas a melhorar o sistema de contratação pública foram postas em prática, mas o seu valor acrescentado ainda não é visível. É necessário assegurar uma aplicação eficaz d</w:t>
      </w:r>
      <w:r>
        <w:rPr>
          <w:noProof/>
        </w:rPr>
        <w:t xml:space="preserve">o novo sistema de controlo </w:t>
      </w:r>
      <w:r>
        <w:rPr>
          <w:i/>
          <w:noProof/>
        </w:rPr>
        <w:t>ex ante</w:t>
      </w:r>
      <w:r>
        <w:rPr>
          <w:noProof/>
        </w:rPr>
        <w:t xml:space="preserve"> baseado nos riscos. A adoção das recomendações formuladas na revisão do sistema de recursos continua a ser um desafio, uma vez que a existência de vias de recurso eficazes é fundamental para a execução de projetos importa</w:t>
      </w:r>
      <w:r>
        <w:rPr>
          <w:noProof/>
        </w:rPr>
        <w:t>ntes. Uma vez avaliada, a capacidade administrativa do organismo responsável pelos contratos públicos terá de ser ajustada de modo a refletir as suas funções. Acresce que a capacidade administrativa das autoridades adjudicantes deve ser reforçada, aproveit</w:t>
      </w:r>
      <w:r>
        <w:rPr>
          <w:noProof/>
        </w:rPr>
        <w:t>ando nomeadamente o apoio prestado pelo organismo responsável pelos contratos públicos e as centrais de compras para a administração central, os municípios e o setor da saúde. É também necessário concluir o trabalho desenvolvido com vista à introdução da c</w:t>
      </w:r>
      <w:r>
        <w:rPr>
          <w:noProof/>
        </w:rPr>
        <w:t xml:space="preserve">ontratação pública eletrónica, a fim de aumentar a transparência na adjudicação dos contratos públicos. A salvaguarda da imparcialidade dos concursos públicos e a prevenção de eventuais conflitos de interesses continuam a ser motivo de preocupação. Apesar </w:t>
      </w:r>
      <w:r>
        <w:rPr>
          <w:noProof/>
        </w:rPr>
        <w:t>das recentes reformas destinadas a modernizar a administração pública, a eficácia e a eficiência das instituições públicas continuam a ser deficientes. Em 2016, foram concluídas várias alterações de ordem jurídica para instituir um quadro normativo adequad</w:t>
      </w:r>
      <w:r>
        <w:rPr>
          <w:noProof/>
        </w:rPr>
        <w:t>o, mas a sua execução e aplicação de forma eficaz e sistemática constitui um desafio.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Em 2016, a Bulgária adotou reformas significativas para dar resposta às preocupações quanto à independência e à qualidade do seu sistema judicial. No entanto, dado o cará</w:t>
      </w:r>
      <w:r>
        <w:rPr>
          <w:noProof/>
        </w:rPr>
        <w:t xml:space="preserve">ter recente destas reformas, é demasiado cedo para avaliar o seu impacto. É necessário continuar a envidar esforços em várias áreas. A corrupção também continua a ser um grande desafio na Bulgária, com repercussões negativas no investimento, tanto a nível </w:t>
      </w:r>
      <w:r>
        <w:rPr>
          <w:noProof/>
        </w:rPr>
        <w:t xml:space="preserve">nacional como local. Em 2015, as autoridades apresentaram uma estratégia ambiciosa de luta contra a corrupção, mas a sua aplicação encontra-se ainda numa fase inicial. </w:t>
      </w:r>
      <w:r>
        <w:rPr>
          <w:noProof/>
          <w:color w:val="000000"/>
        </w:rPr>
        <w:t xml:space="preserve">A estratégia de luta contra a corrupção continua a ser dificultada pela fragilidade e a </w:t>
      </w:r>
      <w:r>
        <w:rPr>
          <w:noProof/>
          <w:color w:val="000000"/>
        </w:rPr>
        <w:t xml:space="preserve">fragmentação das instituições, por um historial pouco significativo de processos penais em casos de grande visibilidade e pela perda de apoio parlamentar às reformas. </w:t>
      </w:r>
      <w:r>
        <w:rPr>
          <w:noProof/>
        </w:rPr>
        <w:t>No âmbito do Mecanismo de Cooperação e de Verificação, a Bulgária é objeto de recomendaçõ</w:t>
      </w:r>
      <w:r>
        <w:rPr>
          <w:noProof/>
        </w:rPr>
        <w:t>es relativas à reforma judiciária e à luta contra a corrupção e a criminalidade organizada. Consequentemente, estes domínios não são abrangidos pelas recomendações específicas por país destinadas à Bulgária.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No contexto do Semestre Europeu, a Comissão proc</w:t>
      </w:r>
      <w:r>
        <w:rPr>
          <w:noProof/>
        </w:rPr>
        <w:t xml:space="preserve">edeu a uma análise exaustiva da política económica da Bulgária, publicada no relatório de 2017 relativo a este país. Avaliou igualmente o seguimento dado às recomendações dirigidas à Bulgária em anos anteriores. 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>Tendo em conta esta avaliação, o Conselho c</w:t>
      </w:r>
      <w:r>
        <w:rPr>
          <w:noProof/>
        </w:rPr>
        <w:t>onsidera que a Bulgária deverá cumprir o Pacto de Estabilidade e Crescimento.</w:t>
      </w:r>
    </w:p>
    <w:p w:rsidR="00D06185" w:rsidRDefault="00F667C6">
      <w:pPr>
        <w:pStyle w:val="Point0number"/>
        <w:rPr>
          <w:noProof/>
        </w:rPr>
      </w:pPr>
      <w:r>
        <w:rPr>
          <w:noProof/>
        </w:rPr>
        <w:t xml:space="preserve">À luz da apreciação aprofundada da Comissão e desta avaliação, as recomendações do Conselho formuladas ao abrigo do artigo 6.º do Regulamento (UE) n.º 1176/2011 estão refletidas </w:t>
      </w:r>
      <w:r>
        <w:rPr>
          <w:noProof/>
        </w:rPr>
        <w:t xml:space="preserve">nas recomendações 2 e 3 </w:t>
      </w:r>
      <w:r>
        <w:rPr>
          <w:i/>
          <w:noProof/>
        </w:rPr>
        <w:t>infra</w:t>
      </w:r>
      <w:r>
        <w:rPr>
          <w:noProof/>
        </w:rPr>
        <w:t>.</w:t>
      </w:r>
    </w:p>
    <w:p w:rsidR="00D06185" w:rsidRDefault="00F667C6">
      <w:pPr>
        <w:pStyle w:val="Formuledadoption"/>
        <w:rPr>
          <w:noProof/>
        </w:rPr>
      </w:pPr>
      <w:r>
        <w:rPr>
          <w:noProof/>
        </w:rPr>
        <w:t>RECOMENDA que, em 2017 e 2018, a Bulgária tome medidas no sentido de:</w:t>
      </w:r>
    </w:p>
    <w:p w:rsidR="00D06185" w:rsidRDefault="00F667C6">
      <w:pPr>
        <w:pStyle w:val="ManualNumPar1"/>
        <w:rPr>
          <w:noProof/>
        </w:rPr>
      </w:pPr>
      <w:bookmarkStart w:id="1" w:name="_CopyToNewDocument_"/>
      <w:bookmarkEnd w:id="1"/>
      <w:r>
        <w:rPr>
          <w:noProof/>
        </w:rPr>
        <w:t>1.</w:t>
      </w:r>
      <w:r>
        <w:rPr>
          <w:noProof/>
        </w:rPr>
        <w:tab/>
      </w:r>
      <w:r>
        <w:rPr>
          <w:noProof/>
          <w:color w:val="000000"/>
        </w:rPr>
        <w:t>Continuar a melhorar a cobrança de impostos e o cumprimento das obrigações fiscais, nomeadamente através de um vasto conjunto de medidas a adotar depois</w:t>
      </w:r>
      <w:r>
        <w:rPr>
          <w:noProof/>
          <w:color w:val="000000"/>
        </w:rPr>
        <w:t xml:space="preserve"> de 2017. Intensificar a aplicação de medidas para reduzir a dimensão da economia informal, em especial o trabalho clandestino.</w:t>
      </w:r>
    </w:p>
    <w:p w:rsidR="00D06185" w:rsidRDefault="00F667C6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Dar seguimento às análises do setor financeiro com a adoção de medidas concretas, nomeadamente no que se refere aos contratos</w:t>
      </w:r>
      <w:r>
        <w:rPr>
          <w:noProof/>
        </w:rPr>
        <w:t xml:space="preserve"> de resseguro, à supervisão a nível de grupo, aos ativos de difícil avaliação e às exposições a partes relacionadas. Melhorar a supervisão bancária e não bancária, através da implementação de planos de ação abrangentes, em estreita cooperação com as instit</w:t>
      </w:r>
      <w:r>
        <w:rPr>
          <w:noProof/>
        </w:rPr>
        <w:t>uições europeias. Facilitar a redução do ainda elevado volume de empréstimos em incumprimento das empresas, recorrendo a um conjunto abrangente de instrumentos dos quais se destacam a intensificação da reforma do quadro de insolvência e a promoção de um me</w:t>
      </w:r>
      <w:r>
        <w:rPr>
          <w:noProof/>
        </w:rPr>
        <w:t xml:space="preserve">rcado secundário de empréstimos de cobrança duvidosa.  </w:t>
      </w:r>
    </w:p>
    <w:p w:rsidR="00D06185" w:rsidRDefault="00F667C6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Melhorar o direcionamento das políticas ativas do mercado de trabalho e a integração entre os serviços sociais e de emprego para os grupos desfavorecidos. Aumentar a oferta de ensino geral de quali</w:t>
      </w:r>
      <w:r>
        <w:rPr>
          <w:noProof/>
        </w:rPr>
        <w:t>dade, em especial para a comunidade cigana. Aumentar a cobertura dos seguros de saúde, reduzir os pagamentos diretos e solucionar o problema da escassez de profissionais de saúde. Definir, em consulta com os parceiros sociais, um mecanismo transparente par</w:t>
      </w:r>
      <w:r>
        <w:rPr>
          <w:noProof/>
        </w:rPr>
        <w:t>a a fixação do salário mínimo. Melhorar a cobertura e a adequação do regime de rendimento mínimo.</w:t>
      </w:r>
    </w:p>
    <w:p w:rsidR="00D06185" w:rsidRDefault="00F667C6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Garantir a eficaz aplicação da Estratégia Nacional de Compras Públicas para o período de 2014-2020. </w:t>
      </w:r>
    </w:p>
    <w:p w:rsidR="00D06185" w:rsidRDefault="00D06185">
      <w:pPr>
        <w:rPr>
          <w:noProof/>
        </w:rPr>
      </w:pPr>
    </w:p>
    <w:p w:rsidR="00D06185" w:rsidRDefault="00F667C6" w:rsidP="00F667C6">
      <w:pPr>
        <w:pStyle w:val="Fait"/>
        <w:rPr>
          <w:noProof/>
        </w:rPr>
      </w:pPr>
      <w:r w:rsidRPr="00F667C6">
        <w:t xml:space="preserve">Feito em Bruxelas, </w:t>
      </w:r>
      <w:proofErr w:type="gramStart"/>
      <w:r w:rsidRPr="00F667C6">
        <w:t>em</w:t>
      </w:r>
      <w:proofErr w:type="gramEnd"/>
    </w:p>
    <w:p w:rsidR="00D06185" w:rsidRDefault="00F667C6">
      <w:pPr>
        <w:pStyle w:val="Institutionquisigne"/>
        <w:rPr>
          <w:noProof/>
        </w:rPr>
      </w:pPr>
      <w:r>
        <w:rPr>
          <w:noProof/>
        </w:rPr>
        <w:tab/>
        <w:t>Pelo Conselho</w:t>
      </w:r>
    </w:p>
    <w:p w:rsidR="00D06185" w:rsidRDefault="00F667C6">
      <w:pPr>
        <w:pStyle w:val="Personnequisigne"/>
        <w:rPr>
          <w:noProof/>
        </w:rPr>
      </w:pPr>
      <w:r>
        <w:rPr>
          <w:noProof/>
        </w:rPr>
        <w:tab/>
        <w:t>O Presidente</w:t>
      </w:r>
    </w:p>
    <w:sectPr w:rsidR="00D06185" w:rsidSect="00F667C6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85" w:rsidRDefault="00F667C6">
      <w:pPr>
        <w:spacing w:before="0" w:after="0"/>
      </w:pPr>
      <w:r>
        <w:separator/>
      </w:r>
    </w:p>
  </w:endnote>
  <w:endnote w:type="continuationSeparator" w:id="0">
    <w:p w:rsidR="00D06185" w:rsidRDefault="00F667C6">
      <w:pPr>
        <w:spacing w:before="0" w:after="0"/>
      </w:pPr>
      <w:r>
        <w:continuationSeparator/>
      </w:r>
    </w:p>
  </w:endnote>
  <w:endnote w:type="continuationNotice" w:id="1">
    <w:p w:rsidR="00D06185" w:rsidRDefault="00D061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85" w:rsidRPr="00F667C6" w:rsidRDefault="00F667C6" w:rsidP="00F667C6">
    <w:pPr>
      <w:pStyle w:val="Footer"/>
      <w:rPr>
        <w:rFonts w:ascii="Arial" w:hAnsi="Arial" w:cs="Arial"/>
        <w:b/>
        <w:sz w:val="48"/>
      </w:rPr>
    </w:pPr>
    <w:r w:rsidRPr="00F667C6">
      <w:rPr>
        <w:rFonts w:ascii="Arial" w:hAnsi="Arial" w:cs="Arial"/>
        <w:b/>
        <w:sz w:val="48"/>
      </w:rPr>
      <w:t>PT</w:t>
    </w:r>
    <w:r w:rsidRPr="00F667C6">
      <w:rPr>
        <w:rFonts w:ascii="Arial" w:hAnsi="Arial" w:cs="Arial"/>
        <w:b/>
        <w:sz w:val="48"/>
      </w:rPr>
      <w:tab/>
    </w:r>
    <w:r w:rsidRPr="00F667C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667C6">
      <w:tab/>
    </w:r>
    <w:proofErr w:type="spellStart"/>
    <w:r w:rsidRPr="00F667C6">
      <w:rPr>
        <w:rFonts w:ascii="Arial" w:hAnsi="Arial" w:cs="Arial"/>
        <w:b/>
        <w:sz w:val="48"/>
      </w:rPr>
      <w:t>PT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Footer"/>
      <w:rPr>
        <w:rFonts w:ascii="Arial" w:hAnsi="Arial" w:cs="Arial"/>
        <w:b/>
        <w:sz w:val="48"/>
      </w:rPr>
    </w:pPr>
    <w:r w:rsidRPr="00F667C6">
      <w:rPr>
        <w:rFonts w:ascii="Arial" w:hAnsi="Arial" w:cs="Arial"/>
        <w:b/>
        <w:sz w:val="48"/>
      </w:rPr>
      <w:t>PT</w:t>
    </w:r>
    <w:r w:rsidRPr="00F667C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667C6">
      <w:tab/>
    </w:r>
    <w:r w:rsidRPr="00F667C6"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85" w:rsidRDefault="00F667C6">
      <w:pPr>
        <w:spacing w:before="0" w:after="0"/>
      </w:pPr>
      <w:r>
        <w:separator/>
      </w:r>
    </w:p>
  </w:footnote>
  <w:footnote w:type="continuationSeparator" w:id="0">
    <w:p w:rsidR="00D06185" w:rsidRDefault="00F667C6">
      <w:pPr>
        <w:spacing w:before="0" w:after="0"/>
      </w:pPr>
      <w:r>
        <w:continuationSeparator/>
      </w:r>
    </w:p>
  </w:footnote>
  <w:footnote w:type="continuationNotice" w:id="1">
    <w:p w:rsidR="00D06185" w:rsidRDefault="00D06185">
      <w:pPr>
        <w:spacing w:before="0" w:after="0"/>
      </w:pPr>
    </w:p>
  </w:footnote>
  <w:footnote w:id="2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>JO L 209 de 2.8.1997, p. 1.</w:t>
      </w:r>
    </w:p>
  </w:footnote>
  <w:footnote w:id="3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>JO L 306 de 23.11.2011, p. 25.</w:t>
      </w:r>
    </w:p>
  </w:footnote>
  <w:footnote w:id="4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 xml:space="preserve">COM (2017) </w:t>
      </w:r>
      <w:r>
        <w:t>502 final</w:t>
      </w:r>
      <w:bookmarkStart w:id="0" w:name="_GoBack"/>
      <w:bookmarkEnd w:id="0"/>
      <w:r>
        <w:t>.</w:t>
      </w:r>
    </w:p>
  </w:footnote>
  <w:footnote w:id="5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>P8_ TA(2017</w:t>
      </w:r>
      <w:proofErr w:type="gramEnd"/>
      <w:r>
        <w:t>)0038, P8_ TA(2017)0039 e P8_ TA(2017)0040.</w:t>
      </w:r>
    </w:p>
  </w:footnote>
  <w:footnote w:id="6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>COM (2016) 725 final.</w:t>
      </w:r>
    </w:p>
  </w:footnote>
  <w:footnote w:id="7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 xml:space="preserve">COM </w:t>
      </w:r>
      <w:r>
        <w:t>(2016) 728 final.</w:t>
      </w:r>
    </w:p>
  </w:footnote>
  <w:footnote w:id="8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 xml:space="preserve">Documento de trabalho </w:t>
      </w:r>
      <w:proofErr w:type="gramStart"/>
      <w:r>
        <w:t>SWD(2017</w:t>
      </w:r>
      <w:proofErr w:type="gramEnd"/>
      <w:r>
        <w:t>) 68/3 final.</w:t>
      </w:r>
    </w:p>
  </w:footnote>
  <w:footnote w:id="9">
    <w:p w:rsidR="00D06185" w:rsidRDefault="00F667C6">
      <w:pPr>
        <w:pStyle w:val="FootnoteText"/>
        <w:tabs>
          <w:tab w:val="left" w:pos="709"/>
        </w:tabs>
      </w:pPr>
      <w:r>
        <w:rPr>
          <w:rStyle w:val="FootnoteReference"/>
        </w:rPr>
        <w:footnoteRef/>
      </w:r>
      <w:r>
        <w:tab/>
        <w:t>COM (2017) 90 final.</w:t>
      </w:r>
    </w:p>
  </w:footnote>
  <w:footnote w:id="10">
    <w:p w:rsidR="00D06185" w:rsidRDefault="00F667C6">
      <w:pPr>
        <w:pStyle w:val="FootnoteText"/>
      </w:pPr>
      <w:r>
        <w:rPr>
          <w:rStyle w:val="FootnoteReference"/>
        </w:rPr>
        <w:footnoteRef/>
      </w:r>
      <w:r>
        <w:tab/>
        <w:t>Artigo 23.º do Regulamento (UE) n.º 1303/2013 do Parlamento Europeu e do Conselho, de 17 de dezembro de 2013, que estabelece disposições comuns relativas ao Fundo Euro</w:t>
      </w:r>
      <w:r>
        <w:t>peu de Desenvolvimento Regional, ao Fundo Social Europeu, ao Fundo de Coesão, ao Fundo Europeu Agrícola de Desenvolvimento Rural e ao Fundo Europeu dos Assuntos Marítimos e das Pescas, e que estabelece disposições gerais relativas ao Fundo Europeu de Desen</w:t>
      </w:r>
      <w:r>
        <w:t>volvimento Regional, ao Fundo Social Europeu, ao Fundo de Coesão e ao Fundo Europeu dos Assuntos Marítimos e das Pescas e que revoga o Regulamento (CE) n.º 1083/2006 do Conselho (JO L 347 de 20.12.2013, p. 320).</w:t>
      </w:r>
    </w:p>
  </w:footnote>
  <w:footnote w:id="11">
    <w:p w:rsidR="00D06185" w:rsidRDefault="00F667C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COM (2014) 494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6" w:rsidRPr="00F667C6" w:rsidRDefault="00F667C6" w:rsidP="00F66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96440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FE4C7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58F6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EE8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E3CA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A251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0E01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3A37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30 15:27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057F8F3D626A4779B75E5BDB3CEA9C36"/>
    <w:docVar w:name="LW_CROSSREFERENCE" w:val="&lt;UNUSED&gt;"/>
    <w:docVar w:name="LW_DocType" w:val="COM"/>
    <w:docVar w:name="LW_EMISSION" w:val="22.5.2017"/>
    <w:docVar w:name="LW_EMISSION_ISODATE" w:val="2017-05-22"/>
    <w:docVar w:name="LW_EMISSION_LOCATION" w:val="BRX"/>
    <w:docVar w:name="LW_EMISSION_PREFIX" w:val="Bruxelas, "/>
    <w:docVar w:name="LW_EMISSION_SUFFIX" w:val=" 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PT"/>
    <w:docVar w:name="LW_MARKING" w:val="&lt;UNUSED&gt;"/>
    <w:docVar w:name="LW_NOM.INST" w:val="COMISSÃO EUROPEIA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502"/>
    <w:docVar w:name="LW_REF.INTERNE" w:val="&lt;UNUSED&gt;"/>
    <w:docVar w:name="LW_SOUS.TITRE.OBJ.CP" w:val="&lt;UNUSED&gt;"/>
    <w:docVar w:name="LW_STATUT.CP" w:val="Recomendação de"/>
    <w:docVar w:name="LW_SUPERTITRE" w:val="&lt;UNUSED&gt;"/>
    <w:docVar w:name="LW_TITRE.OBJ.CP" w:val="relativa ao Programa Nacional de Reformas da Bulgária para 2017 _x000b_e que formula um parecer do Conselho sobre o Programa de Convergência da Bulgária para 2017"/>
    <w:docVar w:name="LW_TYPE.DOC.CP" w:val="RECOMENDAÇÃO DO CONSELHO"/>
  </w:docVars>
  <w:rsids>
    <w:rsidRoot w:val="00D06185"/>
    <w:rsid w:val="00D06185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F667C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7C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667C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F667C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7C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667C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8</Pages>
  <Words>3090</Words>
  <Characters>16873</Characters>
  <Application>Microsoft Office Word</Application>
  <DocSecurity>0</DocSecurity>
  <Lines>276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dcterms:created xsi:type="dcterms:W3CDTF">2017-05-29T09:31:00Z</dcterms:created>
  <dcterms:modified xsi:type="dcterms:W3CDTF">2017-05-30T13:59:00Z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  <property name="OP_sanitized" fmtid="{D5CDD505-2E9C-101B-9397-08002B2CF9AE}" pid="11">
    <vt:lpwstr>True</vt:lpwstr>
  </property>
</Properties>
</file>