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20" w:rsidRDefault="00511BAD" w:rsidP="00511BAD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AC32D520F5174F9086EF94C032F4A110" style="width:450.75pt;height:351.75pt">
            <v:imagedata r:id="rId8" o:title=""/>
          </v:shape>
        </w:pict>
      </w:r>
    </w:p>
    <w:p w:rsidR="00050920" w:rsidRDefault="00050920">
      <w:pPr>
        <w:rPr>
          <w:noProof/>
        </w:rPr>
        <w:sectPr w:rsidR="00050920" w:rsidSect="00511B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050920" w:rsidRDefault="00050920">
      <w:pPr>
        <w:pStyle w:val="Exposdesmotifstitre"/>
        <w:rPr>
          <w:noProof/>
        </w:rPr>
      </w:pPr>
    </w:p>
    <w:p w:rsidR="00050920" w:rsidRDefault="00050920">
      <w:pPr>
        <w:rPr>
          <w:noProof/>
        </w:rPr>
      </w:pPr>
    </w:p>
    <w:p w:rsidR="00050920" w:rsidRDefault="00511BAD" w:rsidP="00511BAD">
      <w:pPr>
        <w:pStyle w:val="Statut"/>
        <w:rPr>
          <w:noProof/>
        </w:rPr>
      </w:pPr>
      <w:r w:rsidRPr="00511BAD">
        <w:t>Ajánlás</w:t>
      </w:r>
    </w:p>
    <w:p w:rsidR="00050920" w:rsidRDefault="00511BAD" w:rsidP="00511BAD">
      <w:pPr>
        <w:pStyle w:val="Typedudocument"/>
        <w:rPr>
          <w:noProof/>
        </w:rPr>
      </w:pPr>
      <w:r w:rsidRPr="00511BAD">
        <w:t>A TANÁCS AJÁNLÁSA</w:t>
      </w:r>
    </w:p>
    <w:p w:rsidR="00050920" w:rsidRDefault="00511BAD" w:rsidP="00511BAD">
      <w:pPr>
        <w:pStyle w:val="Titreobjet"/>
        <w:rPr>
          <w:noProof/>
        </w:rPr>
      </w:pPr>
      <w:r w:rsidRPr="00511BAD">
        <w:t>Bulgária 2017.</w:t>
      </w:r>
      <w:r>
        <w:t> </w:t>
      </w:r>
      <w:r w:rsidRPr="00511BAD">
        <w:t xml:space="preserve">évi nemzeti reformprogramjáról, </w:t>
      </w:r>
      <w:r w:rsidRPr="00511BAD">
        <w:br/>
      </w:r>
      <w:r w:rsidRPr="00511BAD">
        <w:br/>
        <w:t>amelyben véleményezi Bulgária 2017.</w:t>
      </w:r>
      <w:r>
        <w:t> </w:t>
      </w:r>
      <w:r w:rsidRPr="00511BAD">
        <w:t xml:space="preserve">évi </w:t>
      </w:r>
      <w:proofErr w:type="spellStart"/>
      <w:r w:rsidRPr="00511BAD">
        <w:t>konvergenciaprogramját</w:t>
      </w:r>
      <w:proofErr w:type="spellEnd"/>
    </w:p>
    <w:p w:rsidR="00050920" w:rsidRDefault="00511BAD">
      <w:pPr>
        <w:pStyle w:val="Institutionquiagit"/>
        <w:rPr>
          <w:noProof/>
        </w:rPr>
      </w:pPr>
      <w:r>
        <w:rPr>
          <w:noProof/>
        </w:rPr>
        <w:t>AZ EURÓPAI UNIÓ TANÁCSA,</w:t>
      </w:r>
    </w:p>
    <w:p w:rsidR="00050920" w:rsidRDefault="00511BAD">
      <w:pPr>
        <w:rPr>
          <w:noProof/>
        </w:rPr>
      </w:pPr>
      <w:r>
        <w:rPr>
          <w:noProof/>
        </w:rPr>
        <w:t>tekintettel az Európai Unió működéséről szóló szerződésre és különösen annak 121. cikke (2) bekezdésére és 148. cikke (4) bekezdésére,</w:t>
      </w:r>
    </w:p>
    <w:p w:rsidR="00050920" w:rsidRDefault="00511BAD">
      <w:pPr>
        <w:rPr>
          <w:noProof/>
        </w:rPr>
      </w:pPr>
      <w:r>
        <w:rPr>
          <w:noProof/>
        </w:rPr>
        <w:t>tekintettel a költségvetési egyenleg felügyeletének me</w:t>
      </w:r>
      <w:r>
        <w:rPr>
          <w:noProof/>
        </w:rPr>
        <w:t>gerősítéséről és a gazdaságpolitikák felügyeletéről és összehangolásáról szóló, 1997. július 7-i 1466/97/EK tanácsi rendeletre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és különösen annak 9. cikke (2) bekezdésére,</w:t>
      </w:r>
    </w:p>
    <w:p w:rsidR="00050920" w:rsidRDefault="00511BAD">
      <w:pPr>
        <w:rPr>
          <w:noProof/>
        </w:rPr>
      </w:pPr>
      <w:r>
        <w:rPr>
          <w:noProof/>
        </w:rPr>
        <w:t>tekintettel a makrogazdasági egyensúlyhiányok megelőzéséről és kiigazításáról szóló</w:t>
      </w:r>
      <w:r>
        <w:rPr>
          <w:noProof/>
        </w:rPr>
        <w:t>, 2011. november 16-i 1176/2011/EU európai parlamenti és tanácsi rendeletre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és különösen annak 6. cikke (1) bekezdésére,</w:t>
      </w:r>
    </w:p>
    <w:p w:rsidR="00050920" w:rsidRDefault="00511BAD">
      <w:pPr>
        <w:rPr>
          <w:noProof/>
        </w:rPr>
      </w:pPr>
      <w:r>
        <w:rPr>
          <w:noProof/>
        </w:rPr>
        <w:t>tekintettel az Európai Bizottság ajánlására</w:t>
      </w:r>
      <w:r>
        <w:rPr>
          <w:rStyle w:val="FootnoteReference"/>
          <w:noProof/>
        </w:rPr>
        <w:footnoteReference w:id="4"/>
      </w:r>
      <w:r>
        <w:rPr>
          <w:noProof/>
        </w:rPr>
        <w:t>,</w:t>
      </w:r>
    </w:p>
    <w:p w:rsidR="00050920" w:rsidRDefault="00511BAD">
      <w:pPr>
        <w:rPr>
          <w:noProof/>
        </w:rPr>
      </w:pPr>
      <w:r>
        <w:rPr>
          <w:noProof/>
        </w:rPr>
        <w:t>tekintettel az Európai Parlament állásfoglalásaira</w:t>
      </w:r>
      <w:r>
        <w:rPr>
          <w:rStyle w:val="FootnoteReference"/>
          <w:noProof/>
        </w:rPr>
        <w:footnoteReference w:id="5"/>
      </w:r>
      <w:r>
        <w:rPr>
          <w:noProof/>
        </w:rPr>
        <w:t>,</w:t>
      </w:r>
    </w:p>
    <w:p w:rsidR="00050920" w:rsidRDefault="00511BAD">
      <w:pPr>
        <w:outlineLvl w:val="0"/>
        <w:rPr>
          <w:noProof/>
        </w:rPr>
      </w:pPr>
      <w:r>
        <w:rPr>
          <w:noProof/>
        </w:rPr>
        <w:t>tekintettel az Európai Tanács követ</w:t>
      </w:r>
      <w:r>
        <w:rPr>
          <w:noProof/>
        </w:rPr>
        <w:t>keztetéseire,</w:t>
      </w:r>
    </w:p>
    <w:p w:rsidR="00050920" w:rsidRDefault="00511BAD">
      <w:pPr>
        <w:rPr>
          <w:noProof/>
        </w:rPr>
      </w:pPr>
      <w:r>
        <w:rPr>
          <w:noProof/>
        </w:rPr>
        <w:t>tekintettel a Foglalkoztatási Bizottság véleményére,</w:t>
      </w:r>
    </w:p>
    <w:p w:rsidR="00050920" w:rsidRDefault="00511BAD">
      <w:pPr>
        <w:rPr>
          <w:noProof/>
        </w:rPr>
      </w:pPr>
      <w:r>
        <w:rPr>
          <w:noProof/>
        </w:rPr>
        <w:t>tekintettel a Gazdasági és Pénzügyi Bizottság véleményére,</w:t>
      </w:r>
    </w:p>
    <w:p w:rsidR="00050920" w:rsidRDefault="00511BAD">
      <w:pPr>
        <w:rPr>
          <w:noProof/>
        </w:rPr>
      </w:pPr>
      <w:r>
        <w:rPr>
          <w:noProof/>
        </w:rPr>
        <w:t>tekintettel a szociális védelemmel foglalkozó bizottság véleményére,</w:t>
      </w:r>
    </w:p>
    <w:p w:rsidR="00050920" w:rsidRDefault="00511BAD">
      <w:pPr>
        <w:rPr>
          <w:noProof/>
        </w:rPr>
      </w:pPr>
      <w:r>
        <w:rPr>
          <w:noProof/>
        </w:rPr>
        <w:t>tekintettel a Gazdaságpolitikai Bizottság véleményére,</w:t>
      </w:r>
    </w:p>
    <w:p w:rsidR="00050920" w:rsidRDefault="00511BAD">
      <w:pPr>
        <w:rPr>
          <w:noProof/>
        </w:rPr>
      </w:pPr>
      <w:r>
        <w:rPr>
          <w:noProof/>
        </w:rPr>
        <w:t>mivel:</w:t>
      </w:r>
    </w:p>
    <w:p w:rsidR="00050920" w:rsidRDefault="00511BAD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A Bizottság 2016. november 16-án elfogadta az éves növekedési jelentést</w:t>
      </w:r>
      <w:r>
        <w:rPr>
          <w:rStyle w:val="FootnoteReference"/>
          <w:noProof/>
        </w:rPr>
        <w:footnoteReference w:id="6"/>
      </w:r>
      <w:r>
        <w:rPr>
          <w:noProof/>
        </w:rPr>
        <w:t>, amely elindította a gazdaságpolitikai koordináció 2017. évi európai szemeszterét. Az Európai Tanács 2017. március 9–10-én jóváhagyta az éves növekedési jelentés prioritásait. A Bizo</w:t>
      </w:r>
      <w:r>
        <w:rPr>
          <w:noProof/>
        </w:rPr>
        <w:t>ttság az 1176/2011/EU rendelet alapján 2016. november 16-án elfogadta a riasztási mechanizmus keretében készült jelentést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, amelyben Bulgáriát azon tagállamok közé sorolta, amelyek vonatkozásában részletes vizsgálatra kerül sor. </w:t>
      </w:r>
    </w:p>
    <w:p w:rsidR="00050920" w:rsidRDefault="00511BAD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lastRenderedPageBreak/>
        <w:t>2017. február 22-én közzét</w:t>
      </w:r>
      <w:r>
        <w:rPr>
          <w:noProof/>
        </w:rPr>
        <w:t>ették a Bulgáriára vonatkozó 2017. évi országjelentést</w:t>
      </w:r>
      <w:r>
        <w:rPr>
          <w:rStyle w:val="FootnoteReference"/>
          <w:noProof/>
        </w:rPr>
        <w:footnoteReference w:id="8"/>
      </w:r>
      <w:r>
        <w:rPr>
          <w:noProof/>
        </w:rPr>
        <w:t>, amely értékelte a Bulgária által tett előrelépéseket a Tanács által 2016. július 12-én elfogadott országspecifikus ajánlások kezelése, az előző években Bulgáriának címzett ajánlások végrehajtása érde</w:t>
      </w:r>
      <w:r>
        <w:rPr>
          <w:noProof/>
        </w:rPr>
        <w:t>kében hozott intézkedések, valamint az Európa 2020 stratégia nemzeti szintre lebontott célkitűzéseinek teljesítése terén. Az országjelentés emellett magában foglalta az 1176/2011/EU rendelet 5. cikke szerinti részletes vizsgálatot is, melynek eredményeit 2</w:t>
      </w:r>
      <w:r>
        <w:rPr>
          <w:noProof/>
        </w:rPr>
        <w:t>017. február 22-én tették közzé</w:t>
      </w:r>
      <w:r>
        <w:rPr>
          <w:rStyle w:val="FootnoteReference"/>
          <w:noProof/>
        </w:rPr>
        <w:footnoteReference w:id="9"/>
      </w:r>
      <w:r>
        <w:rPr>
          <w:noProof/>
        </w:rPr>
        <w:t>. Vizsgálata alapján a Bizottság arra a következtetésre jutott, hogy Bulgáriában túlzott makrogazdasági egyensúlyhiány áll fenn. Konkrétan Bulgáriában továbbra is egyensúlyhiány áll fenn a pénzügyi szektorban fennmaradt gyen</w:t>
      </w:r>
      <w:r>
        <w:rPr>
          <w:noProof/>
        </w:rPr>
        <w:t xml:space="preserve">geségek és a vállalatok nagyarányú eladósodottsága kapcsán a hosszú távú munkanélküliség magas szintjével összefüggésben. </w:t>
      </w:r>
    </w:p>
    <w:p w:rsidR="00050920" w:rsidRDefault="00511BAD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Bulgária a határidőig nem nyújtotta be 2017. évi nemzeti reformprogramját és 2017. évi konvergenciaprogramját.</w:t>
      </w:r>
    </w:p>
    <w:p w:rsidR="00050920" w:rsidRDefault="00511BAD">
      <w:pPr>
        <w:pStyle w:val="Point0number"/>
        <w:rPr>
          <w:noProof/>
        </w:rPr>
      </w:pPr>
      <w:r>
        <w:rPr>
          <w:noProof/>
        </w:rPr>
        <w:t>A vonatkozó országspec</w:t>
      </w:r>
      <w:r>
        <w:rPr>
          <w:noProof/>
        </w:rPr>
        <w:t>ifikus ajánlásokat figyelembe vették a tagállami programokban az európai strukturális és beruházási alapok (esb-alapok) 2014–2020 közötti időszakra szóló programozása során. Az európai strukturális és beruházási alapokra vonatkozó jogszabálynak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megfelelőe</w:t>
      </w:r>
      <w:r>
        <w:rPr>
          <w:noProof/>
        </w:rPr>
        <w:t>n a Bizottság kérheti egy tagállamtól az esb-alapokból finanszírozott releváns programjainak felülvizsgálatát és módosítását, amennyiben ez szükséges a vonatkozó országspecifikus ajánlások végrehajtásának elősegítése érdekében. A Bizottság részletes iránym</w:t>
      </w:r>
      <w:r>
        <w:rPr>
          <w:noProof/>
        </w:rPr>
        <w:t>utatást adott e szabályok alkalmazásáról</w:t>
      </w:r>
      <w:r>
        <w:rPr>
          <w:rStyle w:val="FootnoteReference"/>
          <w:noProof/>
        </w:rPr>
        <w:footnoteReference w:id="11"/>
      </w:r>
      <w:r>
        <w:rPr>
          <w:noProof/>
        </w:rPr>
        <w:t>.</w:t>
      </w:r>
    </w:p>
    <w:p w:rsidR="00050920" w:rsidRDefault="00511BAD">
      <w:pPr>
        <w:pStyle w:val="Point0number"/>
        <w:rPr>
          <w:noProof/>
        </w:rPr>
      </w:pPr>
      <w:r>
        <w:rPr>
          <w:noProof/>
        </w:rPr>
        <w:t xml:space="preserve">Bulgária jelenleg a Stabilitási és Növekedési Paktum prevenciós ágához tartozik. A kormány az 1466/97/EK rendeletben előírt határidőig nem nyújtotta be 2017. évi konvergenciaprogramját. </w:t>
      </w:r>
    </w:p>
    <w:p w:rsidR="00050920" w:rsidRDefault="00511BAD">
      <w:pPr>
        <w:pStyle w:val="Point0number"/>
        <w:rPr>
          <w:noProof/>
        </w:rPr>
      </w:pPr>
      <w:r>
        <w:rPr>
          <w:noProof/>
        </w:rPr>
        <w:t>A 2016. július 12-i tanács</w:t>
      </w:r>
      <w:r>
        <w:rPr>
          <w:noProof/>
        </w:rPr>
        <w:t>i ajánlás szerint Bulgáriának 2017-ben a GDP 0,5 %-ának megfelelő mértékű éves költségvetési kiigazítást kell végrehajtania a középtávú költségvetési cél elérése érdekében. Az eredményadatok alapján úgy tűnik, hogy Bulgária 2016-ban már elérte középtávú kö</w:t>
      </w:r>
      <w:r>
        <w:rPr>
          <w:noProof/>
        </w:rPr>
        <w:t>ltségvetési célját. A Bizottság 2017. tavaszi előrejelzése alapján a strukturális egyenleg változatlan politika mellett várhatóan a 2016-ban a GDP 0,1 %-ának megfelelő többlet után 2017-ben a GDP 0,4 %-át, 2018-ban pedig a GDP 0,3 %-át kitevő hiányt ér el.</w:t>
      </w:r>
      <w:r>
        <w:rPr>
          <w:noProof/>
        </w:rPr>
        <w:t xml:space="preserve"> E romlás ellenére a strukturális egyenleg várhatóan mindkét évben meghaladja majd a középtávú költségvetési célt. Összességében a Tanács véleménye szerint Bulgária 2017-ben és 2018-ban várhatóan meg fog felelni a Stabilitási és Növekedési Paktum rendelkez</w:t>
      </w:r>
      <w:r>
        <w:rPr>
          <w:noProof/>
        </w:rPr>
        <w:t>éseinek.</w:t>
      </w:r>
    </w:p>
    <w:p w:rsidR="00050920" w:rsidRDefault="00511BAD">
      <w:pPr>
        <w:pStyle w:val="Point0number"/>
        <w:rPr>
          <w:noProof/>
        </w:rPr>
      </w:pPr>
      <w:r>
        <w:rPr>
          <w:noProof/>
        </w:rPr>
        <w:t xml:space="preserve">Folyamatban vannak az adóbehajtás javítására irányuló erőfeszítések. Az előrelépés ellenére az adózási fegyelem továbbra is kihívást jelent. Továbbra is magas az </w:t>
      </w:r>
      <w:r>
        <w:rPr>
          <w:noProof/>
        </w:rPr>
        <w:lastRenderedPageBreak/>
        <w:t>árnyékgazdaság és a be nem jelentett munkavégzés mértéke. Jelentősek az adózással öss</w:t>
      </w:r>
      <w:r>
        <w:rPr>
          <w:noProof/>
        </w:rPr>
        <w:t>zefüggő adminisztratív terhek. A bürokrácia csökkentésére irányuló intézkedések a jelek szerint eddig csak korlátozott eredményeket hoztak, és nincsenek arra utaló jelek, hogy jelentős mértékben javulna az önkéntes adózási fegyelem. Ilyen körülmények közöt</w:t>
      </w:r>
      <w:r>
        <w:rPr>
          <w:noProof/>
        </w:rPr>
        <w:t>t úgy tűnik, hogy a szabályok betartatása kulcsfontosságú nemcsak az ellenőrzések végrehajtásához, hanem az adóelkerülés megelőzésének megerősítéséhez is. Az adóbehajtás javítására irányuló 2015–2017-es nemzeti stratégiát kísérő cselekvési terv, a feketega</w:t>
      </w:r>
      <w:r>
        <w:rPr>
          <w:noProof/>
        </w:rPr>
        <w:t>zdaság visszaszorítása és a megfelelési költségek csökkentése hasznos eszköznek tűnnek, különösen az adózás területén működő közigazgatási szervek koordinációjának és hatékonyságának értékelésére és javítására. Az egyedi intézkedések hatásainak utólagos el</w:t>
      </w:r>
      <w:r>
        <w:rPr>
          <w:noProof/>
        </w:rPr>
        <w:t>emzése hozzájárulhat az adózási fegyelmet szolgáló jövőbeli intézkedések megfelelő értékeléséhez, tervezéséhez és céljainak meghatározásához. Ezek az intézkedések a jelenlegi, 2017-ben lejáró stratégia helyébe fognak lépni.</w:t>
      </w:r>
    </w:p>
    <w:p w:rsidR="00050920" w:rsidRDefault="00511BAD">
      <w:pPr>
        <w:pStyle w:val="Point0number"/>
        <w:rPr>
          <w:i/>
          <w:noProof/>
        </w:rPr>
      </w:pPr>
      <w:r>
        <w:rPr>
          <w:noProof/>
        </w:rPr>
        <w:t xml:space="preserve">A hatóságok a megfelelő európai </w:t>
      </w:r>
      <w:r>
        <w:rPr>
          <w:noProof/>
        </w:rPr>
        <w:t>szervekkel konzultálva és együttműködve elvégezték a bank- és biztosítási ágazat eszközminőség-vizsgálatait és stressztesztjeit, valamint a magánnyugdíjalapok eszközeinek vizsgálatát. Noha a vizsgálatok megerősítették, hogy az ágazatok összességében stabil</w:t>
      </w:r>
      <w:r>
        <w:rPr>
          <w:noProof/>
        </w:rPr>
        <w:t>ak, egyben kisebb sebezhetőségeket is feltártak, néhányat rendszerszinten jelentős intézményekben. Mivel a nyomonkövetési intézkedéseket még nem hajtották végre teljes mértékben, a sebezhetőség okai továbbra is fennállnak. Ezenkívül a három vizsgálat nem t</w:t>
      </w:r>
      <w:r>
        <w:rPr>
          <w:noProof/>
        </w:rPr>
        <w:t>eljeskörűen foglalkozott bizonyos kérdésekkel, ideértve az illikvid pénzügyi eszközök értékelését és a kapcsolt felek között fennálló kitettségeket. A felügyeletek konzervatívabb megközelítést alkalmazhatnának e kérdések kezelésére. A biztosítási ágazatban</w:t>
      </w:r>
      <w:r>
        <w:rPr>
          <w:noProof/>
        </w:rPr>
        <w:t xml:space="preserve"> a legfontosabb kérdések közé tartozik egyes viszontbiztosítási szerződések kezelése, a biztosítási követelések és csoportszintű felügyelet is.</w:t>
      </w:r>
    </w:p>
    <w:p w:rsidR="00050920" w:rsidRDefault="00511BAD">
      <w:pPr>
        <w:pStyle w:val="Point0number"/>
        <w:rPr>
          <w:i/>
          <w:noProof/>
        </w:rPr>
      </w:pPr>
      <w:r>
        <w:rPr>
          <w:noProof/>
        </w:rPr>
        <w:t>A hasonló egyensúlyproblémák esetleges jövőbeli felmerülésének kiküszöbölése érdekében véglegesíteni kell a bank</w:t>
      </w:r>
      <w:r>
        <w:rPr>
          <w:noProof/>
        </w:rPr>
        <w:t>felügyelet javítására irányuló intézkedéseket, és további erőfeszítésekre van szükség a nem banki felügyelet javítására. A nehezen értékelhető eszközök és a nem megfelelő üzleti gyakorlatok, ideértve a kapcsolt feleket és az ehhez kapcsolódó hitelezést, to</w:t>
      </w:r>
      <w:r>
        <w:rPr>
          <w:noProof/>
        </w:rPr>
        <w:t>vábbra is kulcsfontosságú kihívások maradnak a hatóságok számára.  A Bolgár Nemzeti Bank elindított egy tervet a bankfelügyelet átalakítására és fejlesztésére, többek között a Világbank és az IMF megállapításai alapján. E terv végrehajtása jelenleg is foly</w:t>
      </w:r>
      <w:r>
        <w:rPr>
          <w:noProof/>
        </w:rPr>
        <w:t>amatban van, de előfordulhat, hogy a pénzügyi ágazati értékelési program megállapításai fényében módosítani kell. A biztosítási és nyugdíjalapok felülvizsgálata során a felügyelet terén feltárt hiányosságok rámutatnak arra, hogy a Pénzügyi Felügyeleti Bizo</w:t>
      </w:r>
      <w:r>
        <w:rPr>
          <w:noProof/>
        </w:rPr>
        <w:t>ttságnak átfogó tervet kell kidolgoznia és végrehajtania a felügyelet megerősítése céljából. A hitelesség teljes körű biztosításához egy ilyen tervnek figyelembe kell vennie a területen bevált nemzetközi gyakorlatokat, továbbá a tervet az európai szervekke</w:t>
      </w:r>
      <w:r>
        <w:rPr>
          <w:noProof/>
        </w:rPr>
        <w:t xml:space="preserve">l szoros együttműködésben kell elkészíteni és végrehajtani, szükség szerint beépítve a harmadik fél szolgáltatók hozzájárulásait.  </w:t>
      </w:r>
    </w:p>
    <w:p w:rsidR="00050920" w:rsidRDefault="00511BAD">
      <w:pPr>
        <w:pStyle w:val="Point0number"/>
        <w:rPr>
          <w:i/>
          <w:noProof/>
        </w:rPr>
      </w:pPr>
      <w:r>
        <w:rPr>
          <w:noProof/>
        </w:rPr>
        <w:t>A vállalati adósság szintje továbbra is magas (jóval meghaladja a referenciaországok mutatóit), ami jelentős terhet jelent a</w:t>
      </w:r>
      <w:r>
        <w:rPr>
          <w:noProof/>
        </w:rPr>
        <w:t xml:space="preserve"> vállalatok mérlegében, és középtávon potenciálisan korlátozza a hitelek iránti keresletet és a beruházásokat. A nemteljesítő vállalati hitelek továbbra is magas szintjének csökkentése érdekében a hatóságoknak átfogó eszközkészletre támaszkodva meg kell kö</w:t>
      </w:r>
      <w:r>
        <w:rPr>
          <w:noProof/>
        </w:rPr>
        <w:t>nnyíteniük az adósságrendezést a bankok számára. Például a fizetésképtelenségi keret reformjának felgyorsítása javítaná a behajthatatlan követelések kezelésének jogi keretfeltételeit, és lehetőséget teremtene a bíróságon kívüli szerkezetátalakításra. A fiz</w:t>
      </w:r>
      <w:r>
        <w:rPr>
          <w:noProof/>
        </w:rPr>
        <w:t>etésképtelenségi kereten túl az eszközkészlet tartalmazhatna felügyeleti iránymutatást azon bankok számára, amelyeknél különösen magas a nemteljesítő hitelek szintje. Ez átláthatóbbá tenné az eszközminőségre vonatkozó adatokat, és segítene elmélyíteni a ne</w:t>
      </w:r>
      <w:r>
        <w:rPr>
          <w:noProof/>
        </w:rPr>
        <w:t>mteljesítő hitelek másodlagos piacát.</w:t>
      </w:r>
    </w:p>
    <w:p w:rsidR="00050920" w:rsidRDefault="00511BAD">
      <w:pPr>
        <w:pStyle w:val="Point0number"/>
        <w:rPr>
          <w:bCs/>
          <w:noProof/>
        </w:rPr>
      </w:pPr>
      <w:r>
        <w:rPr>
          <w:noProof/>
        </w:rPr>
        <w:t xml:space="preserve">A legújabb munkaerőpiaci fejlemények kedvezőek voltak, de továbbra is strukturális problémák tapasztalhatók. A munkaerő tovább zsugorodik, aminek hátterében a népesség elöregedése és a kivándorlás húzódik meg. Mivel a </w:t>
      </w:r>
      <w:r>
        <w:rPr>
          <w:noProof/>
        </w:rPr>
        <w:t xml:space="preserve">gazdaság strukturális változásokon megy keresztül, feltétlenül hasznosítani kell a kiaknázatlan munkaerőpiaci potenciált. Jelenleg a munkaerőpiacot a tartós munkanélküliség és az inaktivitás magas szintje, a fiatalok korlátozott munkaerőpiaci integrálása, </w:t>
      </w:r>
      <w:r>
        <w:rPr>
          <w:noProof/>
        </w:rPr>
        <w:t>valamint a készségek hiánya és a strukturális munkaerőhiány jellemzi. Noha a munkanélküliségi ráta 2016-ban az uniós átlag alá csökkent, a tartós munkanélküliség aránya, a nem foglalkoztatott, oktatásban vagy képzésben nem részesülő fiatalok aránya, tovább</w:t>
      </w:r>
      <w:r>
        <w:rPr>
          <w:noProof/>
        </w:rPr>
        <w:t>á az alacsony képzettségű munkavállalók alacsony foglalkoztatási rátája továbbra is nagy kihívást jelent. E kihívásokra tekintettel az aktív munkaerőpiaci politikák nem kellően célozzák a hátrányos helyzetű csoportokat és szükségleteiket, ami hátráltatja a</w:t>
      </w:r>
      <w:r>
        <w:rPr>
          <w:noProof/>
        </w:rPr>
        <w:t>zok foglalkoztathatóságát. Továbbá a foglalkoztatási és a szociális szolgálatok nem megfelelő integrációja korlátozhatja a szociális ellátásban részesülők munkaerőpiaci részvételét.</w:t>
      </w:r>
    </w:p>
    <w:p w:rsidR="00050920" w:rsidRDefault="00511BAD">
      <w:pPr>
        <w:pStyle w:val="Point0number"/>
        <w:rPr>
          <w:noProof/>
        </w:rPr>
      </w:pPr>
      <w:r>
        <w:rPr>
          <w:noProof/>
        </w:rPr>
        <w:t>Az oktatási eredmények javítása és az inkluzív többségi oktatás nyújtásána</w:t>
      </w:r>
      <w:r>
        <w:rPr>
          <w:noProof/>
        </w:rPr>
        <w:t>k megerősítése továbbra is kihívást jelent, és hatással lehet a szegénységre. Noha a gyermekek esetében némileg csökkent a szegénység vagy társadalmi kirekesztettség kockázata, azonban ez továbbra is itt az egyik legmagasabb az EU-ban, és erősen kapcsolódi</w:t>
      </w:r>
      <w:r>
        <w:rPr>
          <w:noProof/>
        </w:rPr>
        <w:t>k a szülők iskolázottságának szintjéhez. A PISA által 2015-ben mért alapkészségek azt mutatják, hogy az olvasás, a matematika és a természettudományok terén rosszul teljesítő tanulók aránya változatlanulaz egyik legmagasabb az EU-ban. Továbbra is várat mag</w:t>
      </w:r>
      <w:r>
        <w:rPr>
          <w:noProof/>
        </w:rPr>
        <w:t>ára az iskolák finanszírozásának javítására irányuló tervezett módszer kialakítása. Ennek célja a kiegyenlítettebb eredmények elősegítése az alulteljesítő iskolák kiegészítő támogatása révén. Az alacsonyabb társadalmi-gazdasági státuszú családokból, különö</w:t>
      </w:r>
      <w:r>
        <w:rPr>
          <w:noProof/>
        </w:rPr>
        <w:t>sen a roma családokból származó gyerekek nem részesülnek egyenlő oktatási lehetőségekben, ideértve a kisgyermekkort is. Folyamatban van a szakoktatás és -képzés reformja, azonban ennek minősége, valamint az üzleti és szociális partnerekkel való együttműköd</w:t>
      </w:r>
      <w:r>
        <w:rPr>
          <w:noProof/>
        </w:rPr>
        <w:t>és szintje elégtelen. Tovább folyik a kettős oktatás kiterjesztése. A felsőoktatásban a teljesítményalapú finanszírozás célja a minőség és a munkaerőpiaci relevancia javítása.</w:t>
      </w:r>
    </w:p>
    <w:p w:rsidR="00050920" w:rsidRDefault="00511BAD">
      <w:pPr>
        <w:pStyle w:val="Point0number"/>
        <w:rPr>
          <w:noProof/>
        </w:rPr>
      </w:pPr>
      <w:r>
        <w:rPr>
          <w:noProof/>
        </w:rPr>
        <w:t>A korlátozott hozzáférhetőség, az alacsony finanszírozás, a szakemberek elvándor</w:t>
      </w:r>
      <w:r>
        <w:rPr>
          <w:noProof/>
        </w:rPr>
        <w:t>lása és a gyenge egészségügyi eredmények továbbra is kulcsfontosságú kihívások az egészségügyi rendszerben. Az egészségbiztosítás alacsony kiterjedtségi szintje, ideértve az ambuláns egészségügyi szolgáltatások közfinanszírozásának alacsony szintjét és a b</w:t>
      </w:r>
      <w:r>
        <w:rPr>
          <w:noProof/>
        </w:rPr>
        <w:t>etegek által közvetlenül fizetett térítések elterjedtségét, egyesek számára nehezebbé teszi az egészségügyi ellátásokhoz való hozzáférést. A közelmúltban hozott intézkedésekben – például a kórházi szolgáltatásokra való szelektív szerződéskötés a nemzeti eg</w:t>
      </w:r>
      <w:r>
        <w:rPr>
          <w:noProof/>
        </w:rPr>
        <w:t>észségügyi térkép alapján – megvan a potenciál arra, hogy javítsák az egészségügyi ellátáshoz való hozzáférést és a méltányosságot, amennyiben teljes mértékben végrehajtják őket.</w:t>
      </w:r>
    </w:p>
    <w:p w:rsidR="00050920" w:rsidRDefault="00511BAD">
      <w:pPr>
        <w:pStyle w:val="Point0number"/>
        <w:rPr>
          <w:noProof/>
        </w:rPr>
      </w:pPr>
      <w:r>
        <w:rPr>
          <w:noProof/>
        </w:rPr>
        <w:t>Noha a bolgár minimálbér továbbra is a legalacsonyabb az EU-ban, 2011 óta szá</w:t>
      </w:r>
      <w:r>
        <w:rPr>
          <w:noProof/>
        </w:rPr>
        <w:t>mottevően emelkedett. Annak ellenére, hogy a foglalkoztatók és a szakszervezetek megállapodtak a feltételekről, csak korlátozott előrelépés történt az objektív mechanizmus létrehozása terén. Az átlátható, a gazdasági és társadalmi követelményeket figyelemb</w:t>
      </w:r>
      <w:r>
        <w:rPr>
          <w:noProof/>
        </w:rPr>
        <w:t>e vevő rendszer hiánya, a munkaerőpiaci feltételek és alkalmazásuk intézményi aspektusa veszélyeztetheti a foglalkoztatás és a versenyképesség elősegítésének, és a munkabér megőrzésének céljai közötti megfelelő egyensúlyt. A 2017. évi társadalombiztosítási</w:t>
      </w:r>
      <w:r>
        <w:rPr>
          <w:noProof/>
        </w:rPr>
        <w:t xml:space="preserve"> minimumokról folytatott, kudarccal zárult tárgyalások során a szociális partnerek között kialakult bizonyos feszültségek ellenére továbbra is folyik az országban a szociális párbeszéd.</w:t>
      </w:r>
    </w:p>
    <w:p w:rsidR="00050920" w:rsidRDefault="00511BAD">
      <w:pPr>
        <w:pStyle w:val="Point0number"/>
        <w:rPr>
          <w:noProof/>
        </w:rPr>
      </w:pPr>
      <w:r>
        <w:rPr>
          <w:noProof/>
        </w:rPr>
        <w:t>Továbbra is jelentős gazdasági és társadalmi kihívást jelent a szegény</w:t>
      </w:r>
      <w:r>
        <w:rPr>
          <w:noProof/>
        </w:rPr>
        <w:t>ségben vagy társadalmi kirekesztettségben élők magas aránya. Bulgária továbbra is a legszegényebb uniós tagállam, és ez aránytalanul súlyosan érinti a hátrányos helyzetű csoportokat, mint a romák, a gyermekek, az idősek és a vidéki területeken élők. Több é</w:t>
      </w:r>
      <w:r>
        <w:rPr>
          <w:noProof/>
        </w:rPr>
        <w:t xml:space="preserve">vnyi tartós javulás után jelentősen romlott az idősek szegénységi aránya. Az idős nőket különösen fenyegeti a szegénység vagy a társadalmi kirekesztés kockázata, tekintettel jellemzően rövidebb nyugdíjjárulék-fizetési időszakukra. Noha a gyermekek körében </w:t>
      </w:r>
      <w:r>
        <w:rPr>
          <w:noProof/>
        </w:rPr>
        <w:t>javult a relatív szegénységi helyzet, továbbra is nagyon magas a szegénység szintje ebben a csoportban. Az új cselekvési terv elfogadásával a gyermekek intézményi elhelyezésének visszaszorítása ugyanolyan lendülettel folyik. A felnőttek és a fogyatékosságg</w:t>
      </w:r>
      <w:r>
        <w:rPr>
          <w:noProof/>
        </w:rPr>
        <w:t>al élők esetében azonban ez a folyamat még mindig lassú. A jövedelmi egyenlőtlenség számottevő és egyre növekvő problémát jelent. A háztartások leggazdagabb 20 %-a jövedelmének a legszegényebb 20 % jövedelméhez viszonyított aránya a 2012. évi 6,1-ről 2015-</w:t>
      </w:r>
      <w:r>
        <w:rPr>
          <w:noProof/>
        </w:rPr>
        <w:t>ben 7,1-re emelkedett, és a legmagasabbak között van az EU-ban. Bulgáriában a jövedelmi egyenlőtlenséget tekintve az adózás és a szociális transzferek kifizetése előtti, illetve utáni helyzet közötti különbség uniós viszonylatban a legcsekélyebbek közé tar</w:t>
      </w:r>
      <w:r>
        <w:rPr>
          <w:noProof/>
        </w:rPr>
        <w:t>tozik. A szociális védelmi rendszer, többek között az általános minimumjövedelem-rendszer (amely havi szociális ellátási juttatásokból és fűtési hozzájárulásból áll) nem biztosítja a megfelelő szintű támogatást. A szociális ellátásban részesülők köre továb</w:t>
      </w:r>
      <w:r>
        <w:rPr>
          <w:noProof/>
        </w:rPr>
        <w:t>bra is alacsony, ami a rendkívül korlátozó jogosultsági feltételek következménye. A minimumjövedelem szintje továbbra is alacsony, 2009 óta nem korszerűsítették, és nem létezik átlátható kiigazítási mechanizmus.</w:t>
      </w:r>
    </w:p>
    <w:p w:rsidR="00050920" w:rsidRDefault="00511BAD">
      <w:pPr>
        <w:pStyle w:val="Point0number"/>
        <w:rPr>
          <w:noProof/>
        </w:rPr>
      </w:pPr>
      <w:r>
        <w:rPr>
          <w:noProof/>
        </w:rPr>
        <w:t>Bevezettek a közbeszerzési rendszer javításá</w:t>
      </w:r>
      <w:r>
        <w:rPr>
          <w:noProof/>
        </w:rPr>
        <w:t>ra irányuló intézkedéseket, ám ezek tényleges hozzáadott értéke még nem látható. Gondoskodni kell az új, kockázatalapú előzetes ellenőrzési rendszer megfelelő és hatékony végrehajtásáról. A fellebbezési rendszer felülvizsgálata során született ajánlások vé</w:t>
      </w:r>
      <w:r>
        <w:rPr>
          <w:noProof/>
        </w:rPr>
        <w:t>grehajtása továbbra is kihívás marad, mivel a hatékony jogorvoslati lehetőségek kulcsfontosságúak a fontos projektek végrehajtásához. Az értékelést követően a közbeszerzési ügynökség igazgatási kapacitását oly módon kellene kiigazítani, hogy az tükrözze az</w:t>
      </w:r>
      <w:r>
        <w:rPr>
          <w:noProof/>
        </w:rPr>
        <w:t xml:space="preserve"> ügynökség feladatait. Ezenkívül növelni kell az ajánlatkérő szervek igazgatási kapacitását, ideértve a közbeszerzési ügynökség és a központi beszerző szervek által a központi igazgatás, az önkormányzatok és az egészségügyi ágazat részére nyújtott támogatá</w:t>
      </w:r>
      <w:r>
        <w:rPr>
          <w:noProof/>
        </w:rPr>
        <w:t>s kiaknázását. Továbbra is véglegesítésre vár az e-közbeszerzés bevezetése, melynek célja a közbeszerzés átláthatóságának növelése. A közbeszerzési eljárások pártatlanságának megőrzése és az esetleges összeférhetetlenség megelőzése továbbra is jelentős agg</w:t>
      </w:r>
      <w:r>
        <w:rPr>
          <w:noProof/>
        </w:rPr>
        <w:t>odalmakra ad okot. A közigazgatás korszerűsítésére irányuló közelmúltbeli reformok ellenére a közigazgatási intézmények eredményessége és hatékonysága továbbra is korlátozott. 2016-ban több jogszabály módosítására került sor a megfelelő jogi keret kialakít</w:t>
      </w:r>
      <w:r>
        <w:rPr>
          <w:noProof/>
        </w:rPr>
        <w:t>ása érdekében, azonban ezek hatékony és szisztematikus betartatása és végrehajtása kihívást jelent.</w:t>
      </w:r>
    </w:p>
    <w:p w:rsidR="00050920" w:rsidRDefault="00511BAD">
      <w:pPr>
        <w:pStyle w:val="Point0number"/>
        <w:rPr>
          <w:noProof/>
        </w:rPr>
      </w:pPr>
      <w:r>
        <w:rPr>
          <w:noProof/>
        </w:rPr>
        <w:t>Bulgária 2016-ban jelentős reformokat fogadott el az igazságügyi rendszere függetlenségével és minőségével kapcsolatban megfogalmazódott aggodalmak kezelése</w:t>
      </w:r>
      <w:r>
        <w:rPr>
          <w:noProof/>
        </w:rPr>
        <w:t xml:space="preserve"> érdekében. Azonban ezeket a reformokat még csak a közelmúltban fogadták el, túl korai lenne értékelni a hatásukat. Számos területen további lépésekre van szükség. A korrupció is változatlanul jelentős kihívást jelent Bulgária számára, és továbbra is fékez</w:t>
      </w:r>
      <w:r>
        <w:rPr>
          <w:noProof/>
        </w:rPr>
        <w:t xml:space="preserve">i a beruházásokat mind nemzeti, mind pedig helyi szinten. 2015-ben a hatóságok ambiciózus korrupció elleni stratégiát mutattak be, ám ennek végrehajtása még a kezdeti szakaszban tart. </w:t>
      </w:r>
      <w:r>
        <w:rPr>
          <w:noProof/>
          <w:color w:val="000000"/>
        </w:rPr>
        <w:t xml:space="preserve">Bulgária korrupcióellenes politikáját továbbra is hátráltatják a gyenge </w:t>
      </w:r>
      <w:r>
        <w:rPr>
          <w:noProof/>
          <w:color w:val="000000"/>
        </w:rPr>
        <w:t xml:space="preserve">és széttagolt intézmények, az alacsony hatékonyságú vádemelések a kiemelt ügyekben és a reform akadozó parlamenti támogatása. </w:t>
      </w:r>
      <w:r>
        <w:rPr>
          <w:noProof/>
        </w:rPr>
        <w:t>Az együttműködési és ellenőrzési mechanizmus keretében Bulgária számára ajánlásokat dolgoznak ki az igazságügyi reformra, valamint</w:t>
      </w:r>
      <w:r>
        <w:rPr>
          <w:noProof/>
        </w:rPr>
        <w:t xml:space="preserve"> a korrupció és szervezett bűnözés elleni küzdelemre vonatkozóan. A Bulgáriának szóló országspecifikus ajánlások ezért nem foglalkoznak e területekkel.</w:t>
      </w:r>
    </w:p>
    <w:p w:rsidR="00050920" w:rsidRDefault="00511BAD">
      <w:pPr>
        <w:pStyle w:val="Point0number"/>
        <w:rPr>
          <w:noProof/>
        </w:rPr>
      </w:pPr>
      <w:r>
        <w:rPr>
          <w:noProof/>
        </w:rPr>
        <w:t>Az európai szemeszter keretében a Bizottság elvégezte Bulgária gazdaságpolitikájának átfogó elemzését, é</w:t>
      </w:r>
      <w:r>
        <w:rPr>
          <w:noProof/>
        </w:rPr>
        <w:t xml:space="preserve">s azt közzétette a 2017. évi országjelentésben. Értékelte továbbá az előző években Bulgáriának címzett ajánlások végrehajtása érdekében hozott intézkedéseket. </w:t>
      </w:r>
    </w:p>
    <w:p w:rsidR="00050920" w:rsidRDefault="00511BAD">
      <w:pPr>
        <w:pStyle w:val="Point0number"/>
        <w:rPr>
          <w:noProof/>
        </w:rPr>
      </w:pPr>
      <w:r>
        <w:rPr>
          <w:noProof/>
        </w:rPr>
        <w:t>Ezen értékelés fényében a Tanács azt a véleményt fogalmazta meg, hogy Bulgária várhatóan meg fog</w:t>
      </w:r>
      <w:r>
        <w:rPr>
          <w:noProof/>
        </w:rPr>
        <w:t xml:space="preserve"> felelni a Stabilitási és Növekedési Paktum rendelkezéseinek.</w:t>
      </w:r>
    </w:p>
    <w:p w:rsidR="00050920" w:rsidRDefault="00511BAD">
      <w:pPr>
        <w:pStyle w:val="Point0number"/>
        <w:rPr>
          <w:noProof/>
        </w:rPr>
      </w:pPr>
      <w:r>
        <w:rPr>
          <w:noProof/>
        </w:rPr>
        <w:t>A Bizottság által elvégzett részletes vizsgálat és ezen értékelés fényében a Tanácsnak az 1176/2011/EU rendelet 6. cikke szerinti ajánlásait az alábbi 2. és 3. ajánlás tükrözi,</w:t>
      </w:r>
    </w:p>
    <w:p w:rsidR="00050920" w:rsidRDefault="00511BAD">
      <w:pPr>
        <w:pStyle w:val="Formuledadoption"/>
        <w:rPr>
          <w:noProof/>
        </w:rPr>
      </w:pPr>
      <w:r>
        <w:rPr>
          <w:noProof/>
        </w:rPr>
        <w:t>AJÁNLJA, hogy Bul</w:t>
      </w:r>
      <w:r>
        <w:rPr>
          <w:noProof/>
        </w:rPr>
        <w:t>gária 2017–2018-ban tegyen intézkedéseket a következők érdekében:</w:t>
      </w:r>
    </w:p>
    <w:p w:rsidR="00050920" w:rsidRDefault="00511BAD">
      <w:pPr>
        <w:pStyle w:val="ManualNumPar1"/>
        <w:rPr>
          <w:noProof/>
        </w:rPr>
      </w:pPr>
      <w:bookmarkStart w:id="1" w:name="_CopyToNewDocument_"/>
      <w:bookmarkEnd w:id="1"/>
      <w:r>
        <w:rPr>
          <w:noProof/>
        </w:rPr>
        <w:t>1.</w:t>
      </w:r>
      <w:r>
        <w:rPr>
          <w:noProof/>
        </w:rPr>
        <w:tab/>
      </w:r>
      <w:r>
        <w:rPr>
          <w:noProof/>
          <w:color w:val="000000"/>
        </w:rPr>
        <w:t>Javítsa tovább az adóbehajtást és az adószabályok betartását, többek között a 2017 utáni időszakra szóló átfogó intézkedéscsomag révén. Tegyen intézkedéseket az informális gazdaság – ideé</w:t>
      </w:r>
      <w:r>
        <w:rPr>
          <w:noProof/>
          <w:color w:val="000000"/>
        </w:rPr>
        <w:t>rtve a be nem jelentett munkavégzést – visszaszorítása érdekében.</w:t>
      </w:r>
    </w:p>
    <w:p w:rsidR="00050920" w:rsidRDefault="00511BAD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Hozzon a pénzügyi szektorra vonatkozó nyomonkövetési intézkedéseket, különösen a viszontbiztosítási szerződések, a csoportszintű felügyelet, a nehezen értékelhető eszközök és a kapcsolt f</w:t>
      </w:r>
      <w:r>
        <w:rPr>
          <w:noProof/>
        </w:rPr>
        <w:t>elek között fennálló kitettségek tekintetében. Javítsa a banki és nem banki felügyeletet az átfogó cselekvési tervek végrehajtása révén, szoros együttműködésben az európai szervekkel. Átfogó eszközrendszerrel segítse a nemteljesítő vállalati hitelek még mi</w:t>
      </w:r>
      <w:r>
        <w:rPr>
          <w:noProof/>
        </w:rPr>
        <w:t xml:space="preserve">ndig magas szintjének csökkentését, ideértve a fizetésképtelenségi jogi keretre irányuló reform felgyorsítását és a nemteljesítő hitelek működő másodlagos piacának előmozdítását.  </w:t>
      </w:r>
    </w:p>
    <w:p w:rsidR="00050920" w:rsidRDefault="00511BAD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Javítsa az aktív munkaerő-piaci politikák célzottságát, valamint a fogla</w:t>
      </w:r>
      <w:r>
        <w:rPr>
          <w:noProof/>
        </w:rPr>
        <w:t>lkoztatási és szociális szolgálatok közötti integrációt a hátrányos helyzetű csoportok érdekében. Lépjen fel a minőségi oktatás nyújtásának kiterjesztése érdekében, mindenekelőtt a romák tekintetében. Terjessze ki a betegbiztosítás körét, csökkentse a bete</w:t>
      </w:r>
      <w:r>
        <w:rPr>
          <w:noProof/>
        </w:rPr>
        <w:t>gek által közvetlenül fizetett térítések elterjedtségének mértékét és tegyen intézkedéseket az egészségügyi szakemberek hiányának orvoslása érdekében. A szociális partnerekkel konzultálva határozza meg a minimálbér-megállapítás átlátható mechanizmusát. Jav</w:t>
      </w:r>
      <w:r>
        <w:rPr>
          <w:noProof/>
        </w:rPr>
        <w:t>ítsa az általános minimumjövedelem kiterjedtségét és megfelelőségét.</w:t>
      </w:r>
    </w:p>
    <w:p w:rsidR="00050920" w:rsidRDefault="00511BAD"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 xml:space="preserve">Gondoskodjon a 2014–2020. évi nemzeti közbeszerzési stratégia hatékony végrehajtásáról. </w:t>
      </w:r>
    </w:p>
    <w:p w:rsidR="00050920" w:rsidRDefault="00050920">
      <w:pPr>
        <w:rPr>
          <w:noProof/>
        </w:rPr>
      </w:pPr>
    </w:p>
    <w:p w:rsidR="00050920" w:rsidRDefault="00511BAD" w:rsidP="00511BAD">
      <w:pPr>
        <w:pStyle w:val="Fait"/>
        <w:rPr>
          <w:noProof/>
        </w:rPr>
      </w:pPr>
      <w:r w:rsidRPr="00511BAD">
        <w:t xml:space="preserve">Kelt Brüsszelben, </w:t>
      </w:r>
      <w:proofErr w:type="spellStart"/>
      <w:r w:rsidRPr="00511BAD">
        <w:t>-án</w:t>
      </w:r>
      <w:proofErr w:type="spellEnd"/>
      <w:r w:rsidRPr="00511BAD">
        <w:t>/</w:t>
      </w:r>
      <w:proofErr w:type="spellStart"/>
      <w:r w:rsidRPr="00511BAD">
        <w:t>-én</w:t>
      </w:r>
      <w:proofErr w:type="spellEnd"/>
      <w:r w:rsidRPr="00511BAD">
        <w:t>.</w:t>
      </w:r>
    </w:p>
    <w:p w:rsidR="00050920" w:rsidRDefault="00511BAD">
      <w:pPr>
        <w:pStyle w:val="Institutionquisigne"/>
        <w:rPr>
          <w:noProof/>
        </w:rPr>
      </w:pPr>
      <w:r>
        <w:rPr>
          <w:noProof/>
        </w:rPr>
        <w:tab/>
        <w:t>a Tanács részéről</w:t>
      </w:r>
    </w:p>
    <w:p w:rsidR="00050920" w:rsidRDefault="00511BAD">
      <w:pPr>
        <w:pStyle w:val="Personnequisigne"/>
        <w:rPr>
          <w:noProof/>
        </w:rPr>
      </w:pPr>
      <w:r>
        <w:rPr>
          <w:noProof/>
        </w:rPr>
        <w:tab/>
        <w:t>az elnök</w:t>
      </w:r>
    </w:p>
    <w:sectPr w:rsidR="00050920" w:rsidSect="00511BAD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20" w:rsidRDefault="00511BAD">
      <w:pPr>
        <w:spacing w:before="0" w:after="0"/>
      </w:pPr>
      <w:r>
        <w:separator/>
      </w:r>
    </w:p>
  </w:endnote>
  <w:endnote w:type="continuationSeparator" w:id="0">
    <w:p w:rsidR="00050920" w:rsidRDefault="00511BAD">
      <w:pPr>
        <w:spacing w:before="0" w:after="0"/>
      </w:pPr>
      <w:r>
        <w:continuationSeparator/>
      </w:r>
    </w:p>
  </w:endnote>
  <w:endnote w:type="continuationNotice" w:id="1">
    <w:p w:rsidR="00050920" w:rsidRDefault="0005092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AD" w:rsidRPr="00511BAD" w:rsidRDefault="00511BAD" w:rsidP="00511B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920" w:rsidRPr="00511BAD" w:rsidRDefault="00511BAD" w:rsidP="00511BAD">
    <w:pPr>
      <w:pStyle w:val="Footer"/>
      <w:rPr>
        <w:rFonts w:ascii="Arial" w:hAnsi="Arial" w:cs="Arial"/>
        <w:b/>
        <w:sz w:val="48"/>
      </w:rPr>
    </w:pPr>
    <w:proofErr w:type="gramStart"/>
    <w:r w:rsidRPr="00511BAD">
      <w:rPr>
        <w:rFonts w:ascii="Arial" w:hAnsi="Arial" w:cs="Arial"/>
        <w:b/>
        <w:sz w:val="48"/>
      </w:rPr>
      <w:t>HU</w:t>
    </w:r>
    <w:proofErr w:type="gramEnd"/>
    <w:r w:rsidRPr="00511BAD">
      <w:rPr>
        <w:rFonts w:ascii="Arial" w:hAnsi="Arial" w:cs="Arial"/>
        <w:b/>
        <w:sz w:val="48"/>
      </w:rPr>
      <w:tab/>
    </w:r>
    <w:r w:rsidRPr="00511BAD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511BAD">
      <w:tab/>
    </w:r>
    <w:proofErr w:type="spellStart"/>
    <w:r w:rsidRPr="00511BAD">
      <w:rPr>
        <w:rFonts w:ascii="Arial" w:hAnsi="Arial" w:cs="Arial"/>
        <w:b/>
        <w:sz w:val="48"/>
      </w:rPr>
      <w:t>HU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AD" w:rsidRPr="00511BAD" w:rsidRDefault="00511BAD" w:rsidP="00511BA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AD" w:rsidRPr="00511BAD" w:rsidRDefault="00511BAD" w:rsidP="00511BAD">
    <w:pPr>
      <w:pStyle w:val="Footer"/>
      <w:rPr>
        <w:rFonts w:ascii="Arial" w:hAnsi="Arial" w:cs="Arial"/>
        <w:b/>
        <w:sz w:val="48"/>
      </w:rPr>
    </w:pPr>
    <w:proofErr w:type="gramStart"/>
    <w:r w:rsidRPr="00511BAD">
      <w:rPr>
        <w:rFonts w:ascii="Arial" w:hAnsi="Arial" w:cs="Arial"/>
        <w:b/>
        <w:sz w:val="48"/>
      </w:rPr>
      <w:t>HU</w:t>
    </w:r>
    <w:proofErr w:type="gramEnd"/>
    <w:r w:rsidRPr="00511BAD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511BAD">
      <w:tab/>
    </w:r>
    <w:r w:rsidRPr="00511BAD">
      <w:rPr>
        <w:rFonts w:ascii="Arial" w:hAnsi="Arial" w:cs="Arial"/>
        <w:b/>
        <w:sz w:val="48"/>
      </w:rPr>
      <w:t>HU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AD" w:rsidRPr="00511BAD" w:rsidRDefault="00511BAD" w:rsidP="00511B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20" w:rsidRDefault="00511BAD">
      <w:pPr>
        <w:spacing w:before="0" w:after="0"/>
      </w:pPr>
      <w:r>
        <w:separator/>
      </w:r>
    </w:p>
  </w:footnote>
  <w:footnote w:type="continuationSeparator" w:id="0">
    <w:p w:rsidR="00050920" w:rsidRDefault="00511BAD">
      <w:pPr>
        <w:spacing w:before="0" w:after="0"/>
      </w:pPr>
      <w:r>
        <w:continuationSeparator/>
      </w:r>
    </w:p>
  </w:footnote>
  <w:footnote w:type="continuationNotice" w:id="1">
    <w:p w:rsidR="00050920" w:rsidRDefault="00050920">
      <w:pPr>
        <w:spacing w:before="0" w:after="0"/>
      </w:pPr>
    </w:p>
  </w:footnote>
  <w:footnote w:id="2">
    <w:p w:rsidR="00050920" w:rsidRDefault="00511BAD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HL L 209., 1997.8.2</w:t>
      </w:r>
      <w:proofErr w:type="gramStart"/>
      <w:r>
        <w:t>.,</w:t>
      </w:r>
      <w:proofErr w:type="gramEnd"/>
      <w:r>
        <w:t xml:space="preserve"> 1. o.</w:t>
      </w:r>
    </w:p>
  </w:footnote>
  <w:footnote w:id="3">
    <w:p w:rsidR="00050920" w:rsidRDefault="00511BAD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HL L 306., 2011.11.23</w:t>
      </w:r>
      <w:proofErr w:type="gramStart"/>
      <w:r>
        <w:t>.,</w:t>
      </w:r>
      <w:proofErr w:type="gramEnd"/>
      <w:r>
        <w:t xml:space="preserve"> 25. o.</w:t>
      </w:r>
    </w:p>
  </w:footnote>
  <w:footnote w:id="4">
    <w:p w:rsidR="00050920" w:rsidRDefault="00511BAD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proofErr w:type="gramStart"/>
      <w:r>
        <w:t>COM(</w:t>
      </w:r>
      <w:proofErr w:type="gramEnd"/>
      <w:r>
        <w:t xml:space="preserve">2017) </w:t>
      </w:r>
      <w:r>
        <w:t xml:space="preserve">502 </w:t>
      </w:r>
      <w:proofErr w:type="spellStart"/>
      <w:r>
        <w:t>final</w:t>
      </w:r>
      <w:bookmarkStart w:id="0" w:name="_GoBack"/>
      <w:bookmarkEnd w:id="0"/>
      <w:proofErr w:type="spellEnd"/>
      <w:r>
        <w:t>.</w:t>
      </w:r>
    </w:p>
  </w:footnote>
  <w:footnote w:id="5">
    <w:p w:rsidR="00050920" w:rsidRDefault="00511BAD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P8_ </w:t>
      </w:r>
      <w:proofErr w:type="gramStart"/>
      <w:r>
        <w:t>TA(</w:t>
      </w:r>
      <w:proofErr w:type="gramEnd"/>
      <w:r>
        <w:t>2017)0038, P8_ TA(2017)0039 és P8_ TA(2017)0040.</w:t>
      </w:r>
    </w:p>
  </w:footnote>
  <w:footnote w:id="6">
    <w:p w:rsidR="00050920" w:rsidRDefault="00511BAD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proofErr w:type="gramStart"/>
      <w:r>
        <w:t>COM(</w:t>
      </w:r>
      <w:proofErr w:type="gramEnd"/>
      <w:r>
        <w:t xml:space="preserve">2016) 725 </w:t>
      </w:r>
      <w:proofErr w:type="spellStart"/>
      <w:r>
        <w:t>final</w:t>
      </w:r>
      <w:proofErr w:type="spellEnd"/>
      <w:r>
        <w:t>.</w:t>
      </w:r>
    </w:p>
  </w:footnote>
  <w:footnote w:id="7">
    <w:p w:rsidR="00050920" w:rsidRDefault="00511BAD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proofErr w:type="gramStart"/>
      <w:r>
        <w:t>COM(</w:t>
      </w:r>
      <w:proofErr w:type="gramEnd"/>
      <w:r>
        <w:t xml:space="preserve">2016) 728 </w:t>
      </w:r>
      <w:proofErr w:type="spellStart"/>
      <w:r>
        <w:t>final</w:t>
      </w:r>
      <w:proofErr w:type="spellEnd"/>
      <w:r>
        <w:t>.</w:t>
      </w:r>
    </w:p>
  </w:footnote>
  <w:footnote w:id="8">
    <w:p w:rsidR="00050920" w:rsidRDefault="00511BAD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proofErr w:type="gramStart"/>
      <w:r>
        <w:t>SWD(</w:t>
      </w:r>
      <w:proofErr w:type="gramEnd"/>
      <w:r>
        <w:t xml:space="preserve">2017) </w:t>
      </w:r>
      <w:r>
        <w:t xml:space="preserve">68 </w:t>
      </w:r>
      <w:proofErr w:type="spellStart"/>
      <w:r>
        <w:t>final</w:t>
      </w:r>
      <w:proofErr w:type="spellEnd"/>
      <w:r>
        <w:t>/3.</w:t>
      </w:r>
    </w:p>
  </w:footnote>
  <w:footnote w:id="9">
    <w:p w:rsidR="00050920" w:rsidRDefault="00511BAD">
      <w:pPr>
        <w:pStyle w:val="FootnoteText"/>
        <w:tabs>
          <w:tab w:val="left" w:pos="709"/>
        </w:tabs>
        <w:rPr>
          <w:lang w:val="pt-PT"/>
        </w:rPr>
      </w:pPr>
      <w:r>
        <w:rPr>
          <w:rStyle w:val="FootnoteReference"/>
        </w:rPr>
        <w:footnoteRef/>
      </w:r>
      <w:r>
        <w:tab/>
      </w:r>
      <w:proofErr w:type="gramStart"/>
      <w:r>
        <w:t>COM(</w:t>
      </w:r>
      <w:proofErr w:type="gramEnd"/>
      <w:r>
        <w:t xml:space="preserve">2017) 90 </w:t>
      </w:r>
      <w:proofErr w:type="spellStart"/>
      <w:r>
        <w:t>final</w:t>
      </w:r>
      <w:proofErr w:type="spellEnd"/>
      <w:r>
        <w:t>.</w:t>
      </w:r>
    </w:p>
  </w:footnote>
  <w:footnote w:id="10">
    <w:p w:rsidR="00050920" w:rsidRDefault="00511BAD">
      <w:pPr>
        <w:pStyle w:val="FootnoteText"/>
      </w:pPr>
      <w:r>
        <w:rPr>
          <w:rStyle w:val="FootnoteReference"/>
        </w:rPr>
        <w:footnoteRef/>
      </w:r>
      <w:r>
        <w:tab/>
      </w:r>
      <w:proofErr w:type="gramStart"/>
      <w:r>
        <w:t>Az Európai Regionális Fejlesztési Alapra, az Európai Szociális Alapra, a Kohéziós Alapra, az Európai Mezőgazdasági Vidékfejlesztési Alapra és az Európai Tengerügyi és Halászati Alapra vonatkozó közös rendelkezések megáll</w:t>
      </w:r>
      <w:r>
        <w:t>apításáról, az Európai Regionális Fejlesztési Alapra, az Európai Szociális Alapra és a Kohéziós Alapra és az Európai Tengerügyi és Halászati Alapra vonatkozó általános rendelkezések megállapításáról és az 1083/2006/EK tanácsi rendelet hatályon kívül helyez</w:t>
      </w:r>
      <w:r>
        <w:t>éséről szóló, 2013. december 17-i 1303/2013/EU európai parlamenti és tanácsi rendelet 23. cikke (HL L 347., 2013.12.20., 320. o.)</w:t>
      </w:r>
      <w:proofErr w:type="gramEnd"/>
    </w:p>
  </w:footnote>
  <w:footnote w:id="11">
    <w:p w:rsidR="00050920" w:rsidRDefault="00511BAD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</w:r>
      <w:proofErr w:type="gramStart"/>
      <w:r>
        <w:t>COM(</w:t>
      </w:r>
      <w:proofErr w:type="gramEnd"/>
      <w:r>
        <w:t xml:space="preserve">2014) 494 </w:t>
      </w:r>
      <w:proofErr w:type="spellStart"/>
      <w:r>
        <w:t>final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AD" w:rsidRPr="00511BAD" w:rsidRDefault="00511BAD" w:rsidP="00511B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AD" w:rsidRPr="00511BAD" w:rsidRDefault="00511BAD" w:rsidP="00511B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AD" w:rsidRPr="00511BAD" w:rsidRDefault="00511BAD" w:rsidP="00511B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96440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FE4C7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558F6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4EE8A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E3CAF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2A251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50E01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73A37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5-30 15:27:4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NFIDENCE" w:val=" "/>
    <w:docVar w:name="LW_CONST_RESTREINT_UE" w:val="RESTREINT UE/EU RESTRICTED"/>
    <w:docVar w:name="LW_CORRIGENDUM" w:val="&lt;UNUSED&gt;"/>
    <w:docVar w:name="LW_COVERPAGE_GUID" w:val="AC32D520F5174F9086EF94C032F4A110"/>
    <w:docVar w:name="LW_CROSSREFERENCE" w:val="&lt;UNUSED&gt;"/>
    <w:docVar w:name="LW_DocType" w:val="COM"/>
    <w:docVar w:name="LW_EMISSION" w:val="2017.5.22."/>
    <w:docVar w:name="LW_EMISSION_ISODATE" w:val="2017-05-22"/>
    <w:docVar w:name="LW_EMISSION_LOCATION" w:val="BRX"/>
    <w:docVar w:name="LW_EMISSION_PREFIX" w:val="Brüsszel, "/>
    <w:docVar w:name="LW_EMISSION_SUFFIX" w:val=" "/>
    <w:docVar w:name="LW_ID_DOCMODEL" w:val="SG-002"/>
    <w:docVar w:name="LW_ID_DOCSIGNATURE" w:val="SG-002"/>
    <w:docVar w:name="LW_ID_DOCSTRUCTURE" w:val="COM/PL/ORG"/>
    <w:docVar w:name="LW_ID_DOCTYPE" w:val="SG-002"/>
    <w:docVar w:name="LW_ID_STATUT" w:val="SG-002"/>
    <w:docVar w:name="LW_INTERETEEE.CP" w:val="&lt;UNUSED&gt;"/>
    <w:docVar w:name="LW_LANGUE" w:val="HU"/>
    <w:docVar w:name="LW_MARKING" w:val="&lt;UNUSED&gt;"/>
    <w:docVar w:name="LW_NOM.INST" w:val="EURÓPAI BIZOTTSÁG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502"/>
    <w:docVar w:name="LW_REF.INTERNE" w:val="&lt;UNUSED&gt;"/>
    <w:docVar w:name="LW_SOUS.TITRE.OBJ.CP" w:val="&lt;UNUSED&gt;"/>
    <w:docVar w:name="LW_STATUT.CP" w:val="Ajánlás"/>
    <w:docVar w:name="LW_SUPERTITRE" w:val="&lt;UNUSED&gt;"/>
    <w:docVar w:name="LW_TITRE.OBJ.CP" w:val="Bulgária 2017. évi nemzeti reformprogramjáról, _x000b__x000b_amelyben véleményezi Bulgária 2017. évi konvergenciaprogramját"/>
    <w:docVar w:name="LW_TYPE.DOC.CP" w:val="A TANÁCS AJÁNLÁSA"/>
  </w:docVars>
  <w:rsids>
    <w:rsidRoot w:val="00050920"/>
    <w:rsid w:val="00050920"/>
    <w:rsid w:val="0051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hu-HU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hu-HU"/>
    </w:rPr>
  </w:style>
  <w:style w:type="paragraph" w:styleId="Header">
    <w:name w:val="header"/>
    <w:basedOn w:val="Normal"/>
    <w:link w:val="HeaderChar"/>
    <w:uiPriority w:val="99"/>
    <w:unhideWhenUsed/>
    <w:rsid w:val="00511BAD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11BAD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511BAD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hu-HU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hu-HU"/>
    </w:rPr>
  </w:style>
  <w:style w:type="paragraph" w:styleId="Header">
    <w:name w:val="header"/>
    <w:basedOn w:val="Normal"/>
    <w:link w:val="HeaderChar"/>
    <w:uiPriority w:val="99"/>
    <w:unhideWhenUsed/>
    <w:rsid w:val="00511BAD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11BAD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511BAD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8</Pages>
  <Words>2332</Words>
  <Characters>16931</Characters>
  <Application>Microsoft Office Word</Application>
  <DocSecurity>0</DocSecurity>
  <Lines>268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18</cp:revision>
  <dcterms:created xsi:type="dcterms:W3CDTF">2017-05-29T11:55:00Z</dcterms:created>
  <dcterms:modified xsi:type="dcterms:W3CDTF">2017-05-30T13:55:00Z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SG-002</vt:lpwstr>
  </property>
  <property fmtid="{D5CDD505-2E9C-101B-9397-08002B2CF9AE}" pid="10" name="DQCStatus">
    <vt:lpwstr>Yellow (DQC version 03)</vt:lpwstr>
  </property>
  <property name="OP_sanitized" fmtid="{D5CDD505-2E9C-101B-9397-08002B2CF9AE}" pid="11">
    <vt:lpwstr>True</vt:lpwstr>
  </property>
</Properties>
</file>