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CB" w:rsidRDefault="006004CE" w:rsidP="006004CE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3480398447B949CF8C66B53985A90973" style="width:450.75pt;height:351.75pt">
            <v:imagedata r:id="rId9" o:title=""/>
          </v:shape>
        </w:pict>
      </w:r>
    </w:p>
    <w:p w:rsidR="005D63CB" w:rsidRDefault="005D63CB">
      <w:pPr>
        <w:rPr>
          <w:noProof/>
        </w:rPr>
        <w:sectPr w:rsidR="005D63CB" w:rsidSect="006004C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5D63CB" w:rsidRDefault="005D63CB">
      <w:pPr>
        <w:pStyle w:val="Exposdesmotifstitre"/>
        <w:rPr>
          <w:noProof/>
        </w:rPr>
      </w:pPr>
    </w:p>
    <w:p w:rsidR="005D63CB" w:rsidRDefault="005D63CB">
      <w:pPr>
        <w:rPr>
          <w:noProof/>
        </w:rPr>
      </w:pPr>
    </w:p>
    <w:p w:rsidR="005D63CB" w:rsidRDefault="006004CE" w:rsidP="006004CE">
      <w:pPr>
        <w:pStyle w:val="Statut"/>
        <w:rPr>
          <w:noProof/>
        </w:rPr>
      </w:pPr>
      <w:r w:rsidRPr="006004CE">
        <w:t>Preporuka za</w:t>
      </w:r>
    </w:p>
    <w:p w:rsidR="005D63CB" w:rsidRDefault="006004CE" w:rsidP="006004CE">
      <w:pPr>
        <w:pStyle w:val="Typedudocument"/>
        <w:rPr>
          <w:noProof/>
        </w:rPr>
      </w:pPr>
      <w:r w:rsidRPr="006004CE">
        <w:t>PREPORUKU VIJEĆA</w:t>
      </w:r>
    </w:p>
    <w:p w:rsidR="005D63CB" w:rsidRDefault="006004CE" w:rsidP="006004CE">
      <w:pPr>
        <w:pStyle w:val="Titreobjet"/>
        <w:rPr>
          <w:noProof/>
        </w:rPr>
      </w:pPr>
      <w:r w:rsidRPr="006004CE">
        <w:t>o Nacionalnom programu reformi Rumunjske za 2017.</w:t>
      </w:r>
      <w:r w:rsidRPr="006004CE">
        <w:br/>
      </w:r>
      <w:r w:rsidRPr="006004CE">
        <w:br/>
        <w:t>i dostavljanju mišljenja Vijeća o Programu konvergencije Rumunjske za</w:t>
      </w:r>
      <w:r>
        <w:t> </w:t>
      </w:r>
      <w:r w:rsidRPr="006004CE">
        <w:t>2017.</w:t>
      </w:r>
    </w:p>
    <w:p w:rsidR="005D63CB" w:rsidRDefault="006004CE">
      <w:pPr>
        <w:pStyle w:val="Institutionquiagit"/>
        <w:rPr>
          <w:noProof/>
        </w:rPr>
      </w:pPr>
      <w:r>
        <w:rPr>
          <w:noProof/>
        </w:rPr>
        <w:t>VIJEĆE EUROPSKE UNIJE,</w:t>
      </w:r>
    </w:p>
    <w:p w:rsidR="005D63CB" w:rsidRDefault="006004CE">
      <w:pPr>
        <w:rPr>
          <w:noProof/>
        </w:rPr>
      </w:pPr>
      <w:r>
        <w:rPr>
          <w:noProof/>
        </w:rPr>
        <w:t>uzimajući u obzir Ugovor o funkcioniranju Europske unije, a posebno njegov članak 121. stavak 2. i članak 148. stavak 4.,</w:t>
      </w:r>
    </w:p>
    <w:p w:rsidR="005D63CB" w:rsidRDefault="006004CE">
      <w:pPr>
        <w:rPr>
          <w:noProof/>
        </w:rPr>
      </w:pPr>
      <w:r>
        <w:rPr>
          <w:noProof/>
        </w:rPr>
        <w:t>uzimajući u obzir Uredbu Vijeća (EZ) br. 1466/97 o</w:t>
      </w:r>
      <w:r>
        <w:rPr>
          <w:noProof/>
        </w:rPr>
        <w:t>d 7. srpnja 1997. o jačanju nadzora stanja proračuna i nadzora i koordinacije ekonomskih politika</w:t>
      </w:r>
      <w:r>
        <w:rPr>
          <w:rStyle w:val="FootnoteReference"/>
          <w:noProof/>
        </w:rPr>
        <w:footnoteReference w:id="1"/>
      </w:r>
      <w:r>
        <w:rPr>
          <w:noProof/>
        </w:rPr>
        <w:t>, a posebno njezin članak 9. stavak 2.,</w:t>
      </w:r>
    </w:p>
    <w:p w:rsidR="005D63CB" w:rsidRDefault="006004CE">
      <w:pPr>
        <w:rPr>
          <w:noProof/>
        </w:rPr>
      </w:pPr>
      <w:r>
        <w:rPr>
          <w:noProof/>
        </w:rPr>
        <w:t>uzimajući u obzir preporuku Europske komisije</w:t>
      </w:r>
      <w:r>
        <w:rPr>
          <w:rStyle w:val="FootnoteReference"/>
          <w:noProof/>
        </w:rPr>
        <w:footnoteReference w:id="2"/>
      </w:r>
      <w:r>
        <w:rPr>
          <w:noProof/>
        </w:rPr>
        <w:t>,</w:t>
      </w:r>
    </w:p>
    <w:p w:rsidR="005D63CB" w:rsidRDefault="006004CE">
      <w:pPr>
        <w:rPr>
          <w:noProof/>
        </w:rPr>
      </w:pPr>
      <w:r>
        <w:rPr>
          <w:noProof/>
        </w:rPr>
        <w:t>uzimajući u obzir rezolucije Europskog parlamenta</w:t>
      </w:r>
      <w:r>
        <w:rPr>
          <w:rStyle w:val="FootnoteReference"/>
          <w:noProof/>
        </w:rPr>
        <w:footnoteReference w:id="3"/>
      </w:r>
      <w:r>
        <w:rPr>
          <w:noProof/>
        </w:rPr>
        <w:t>,</w:t>
      </w:r>
    </w:p>
    <w:p w:rsidR="005D63CB" w:rsidRDefault="006004CE">
      <w:pPr>
        <w:outlineLvl w:val="0"/>
        <w:rPr>
          <w:noProof/>
        </w:rPr>
      </w:pPr>
      <w:r>
        <w:rPr>
          <w:noProof/>
        </w:rPr>
        <w:t xml:space="preserve">uzimajući u obzir </w:t>
      </w:r>
      <w:r>
        <w:rPr>
          <w:noProof/>
        </w:rPr>
        <w:t>zaključke Europskog vijeća,</w:t>
      </w:r>
    </w:p>
    <w:p w:rsidR="005D63CB" w:rsidRDefault="006004CE">
      <w:pPr>
        <w:rPr>
          <w:noProof/>
        </w:rPr>
      </w:pPr>
      <w:r>
        <w:rPr>
          <w:noProof/>
        </w:rPr>
        <w:t>uzimajući u obzir mišljenje Odbora za zapošljavanje,</w:t>
      </w:r>
    </w:p>
    <w:p w:rsidR="005D63CB" w:rsidRDefault="006004CE">
      <w:pPr>
        <w:rPr>
          <w:noProof/>
        </w:rPr>
      </w:pPr>
      <w:r>
        <w:rPr>
          <w:noProof/>
        </w:rPr>
        <w:t>uzimajući u obzir mišljenje Gospodarskog i financijskog odbora,</w:t>
      </w:r>
    </w:p>
    <w:p w:rsidR="005D63CB" w:rsidRDefault="006004CE">
      <w:pPr>
        <w:rPr>
          <w:noProof/>
        </w:rPr>
      </w:pPr>
      <w:r>
        <w:rPr>
          <w:noProof/>
        </w:rPr>
        <w:t>uzimajući u obzir mišljenje Odbora za socijalnu zaštitu,</w:t>
      </w:r>
    </w:p>
    <w:p w:rsidR="005D63CB" w:rsidRDefault="006004CE">
      <w:pPr>
        <w:rPr>
          <w:noProof/>
        </w:rPr>
      </w:pPr>
      <w:r>
        <w:rPr>
          <w:noProof/>
        </w:rPr>
        <w:t>uzimajući u obzir mišljenje Odbora za ekonomsku politi</w:t>
      </w:r>
      <w:r>
        <w:rPr>
          <w:noProof/>
        </w:rPr>
        <w:t>ku,</w:t>
      </w:r>
    </w:p>
    <w:p w:rsidR="005D63CB" w:rsidRDefault="006004CE">
      <w:pPr>
        <w:rPr>
          <w:noProof/>
        </w:rPr>
      </w:pPr>
      <w:r>
        <w:rPr>
          <w:noProof/>
        </w:rPr>
        <w:t>budući da:</w:t>
      </w:r>
    </w:p>
    <w:p w:rsidR="005D63CB" w:rsidRDefault="006004CE">
      <w:pPr>
        <w:pStyle w:val="Point0number"/>
        <w:numPr>
          <w:ilvl w:val="0"/>
          <w:numId w:val="1"/>
        </w:numPr>
        <w:rPr>
          <w:noProof/>
        </w:rPr>
      </w:pPr>
      <w:r>
        <w:rPr>
          <w:noProof/>
        </w:rPr>
        <w:t>Komisija je 16. studenoga 2016. donijela Godišnji pregled rasta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, čime je označen početak Europskog semestra za koordinaciju ekonomskih politika za 2017. Prioritete Godišnjeg pregleda rasta potvrdilo je Europsko vijeće 9. i 10. ožujka 2017. </w:t>
      </w:r>
      <w:r>
        <w:rPr>
          <w:noProof/>
        </w:rPr>
        <w:t>Komisija je 16. studenoga 2016. na temelju Uredbe (EU) br. 1176/2011 donijela Izvješće o mehanizmu upozoravanja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, u kojemu je utvrdila da Rumunjska nije država članica za koju je potrebno provesti detaljno preispitivanje. </w:t>
      </w:r>
    </w:p>
    <w:p w:rsidR="005D63CB" w:rsidRDefault="006004CE">
      <w:pPr>
        <w:pStyle w:val="Point0number"/>
        <w:numPr>
          <w:ilvl w:val="0"/>
          <w:numId w:val="1"/>
        </w:numPr>
        <w:rPr>
          <w:noProof/>
        </w:rPr>
      </w:pPr>
      <w:r>
        <w:rPr>
          <w:noProof/>
        </w:rPr>
        <w:t>Izvješće za Rumunjsku za 2017.</w:t>
      </w:r>
      <w:r>
        <w:rPr>
          <w:rStyle w:val="FootnoteReference"/>
          <w:noProof/>
        </w:rPr>
        <w:footnoteReference w:id="6"/>
      </w:r>
      <w:r>
        <w:rPr>
          <w:noProof/>
        </w:rPr>
        <w:t xml:space="preserve"> o</w:t>
      </w:r>
      <w:r>
        <w:rPr>
          <w:noProof/>
        </w:rPr>
        <w:t>bjavljeno je 22. veljače 2017. U njemu je ocijenjen napredak Rumunjske u odnosu na provedbu preporuka za Rumunjsku koje je Vijeće donijelo 12. srpnja 2016., mjere poduzete kao odgovor na preporuke donesene prethodnih godina te napredak Rumunjske u ostvaren</w:t>
      </w:r>
      <w:r>
        <w:rPr>
          <w:noProof/>
        </w:rPr>
        <w:t>ju svojih nacionalnih ciljeva strategije Europa 2020.</w:t>
      </w:r>
    </w:p>
    <w:p w:rsidR="005D63CB" w:rsidRDefault="006004CE">
      <w:pPr>
        <w:pStyle w:val="Point0number"/>
        <w:rPr>
          <w:noProof/>
        </w:rPr>
      </w:pPr>
      <w:r>
        <w:rPr>
          <w:noProof/>
        </w:rPr>
        <w:lastRenderedPageBreak/>
        <w:t>Rumunjska je 5. svibnja 2017. dostavila svoj Nacionalni program reformi za 2017. i svoj Program konvergencije za 2017. Kako bi se u obzir uzela njihova povezanost, oba su programa istodobno ocijenjena.</w:t>
      </w:r>
    </w:p>
    <w:p w:rsidR="005D63CB" w:rsidRDefault="006004CE">
      <w:pPr>
        <w:pStyle w:val="Point0number"/>
        <w:rPr>
          <w:noProof/>
        </w:rPr>
      </w:pPr>
      <w:r>
        <w:rPr>
          <w:noProof/>
        </w:rPr>
        <w:t>Kad je riječ o programima država članica u okviru europskih strukturnih i investicijskih fondova za razdoblje 2014. – 2020., u obzir su uzete relevantne preporuke po državama članicama. Kako je predviđeno zakonodavstvom kojim se uređuju europski strukturni</w:t>
      </w:r>
      <w:r>
        <w:rPr>
          <w:noProof/>
        </w:rPr>
        <w:t xml:space="preserve"> i investicijski fondovi</w:t>
      </w:r>
      <w:r>
        <w:rPr>
          <w:rStyle w:val="FootnoteReference"/>
          <w:noProof/>
        </w:rPr>
        <w:footnoteReference w:id="7"/>
      </w:r>
      <w:r>
        <w:rPr>
          <w:noProof/>
        </w:rPr>
        <w:t>, ako je potrebno poduprijeti provedbu relevantnih preporuka po državama članicama, Komisija od države članice može zatražiti da preispita i izmijeni svoje relevantne programe u okviru strukturnih i investicijskih fondova. Komisija</w:t>
      </w:r>
      <w:r>
        <w:rPr>
          <w:noProof/>
        </w:rPr>
        <w:t xml:space="preserve"> je dostavila dodatne smjernice o primjeni tih odredbi</w:t>
      </w:r>
      <w:r>
        <w:rPr>
          <w:rStyle w:val="FootnoteReference"/>
          <w:noProof/>
        </w:rPr>
        <w:footnoteReference w:id="8"/>
      </w:r>
      <w:r>
        <w:rPr>
          <w:noProof/>
        </w:rPr>
        <w:t>.</w:t>
      </w:r>
    </w:p>
    <w:p w:rsidR="005D63CB" w:rsidRDefault="006004CE">
      <w:pPr>
        <w:pStyle w:val="Point0number"/>
        <w:rPr>
          <w:noProof/>
        </w:rPr>
      </w:pPr>
      <w:r>
        <w:rPr>
          <w:noProof/>
        </w:rPr>
        <w:t>Rumunjska je između 2009. i 2015. ostvarila koristi od tri programa pomoći platne bilance kojima zajednički upravljaju Komisija i Međunarodni monetarni fond uz potporu Svjetske banke. Izvršene su sam</w:t>
      </w:r>
      <w:r>
        <w:rPr>
          <w:noProof/>
        </w:rPr>
        <w:t>o isplate u okviru prvog programa tijekom 2009. – 2011., a u razdobljima 2011. – 13. i 2013. –15. riječ je o preventivnoj financijskoj pomoći. Nadzor nakon provedbe programa u ime Komisije radi praćenja kapaciteta Rumunjske za otplatu kredita odobrenih u o</w:t>
      </w:r>
      <w:r>
        <w:rPr>
          <w:noProof/>
        </w:rPr>
        <w:t xml:space="preserve">kviru prvog programa započeo je u listopadu 2015. i nastavit će se do isplate najmanje 70 % iznosa kredita, koja dospijeva u proljeće 2018. </w:t>
      </w:r>
    </w:p>
    <w:p w:rsidR="005D63CB" w:rsidRDefault="006004CE">
      <w:pPr>
        <w:pStyle w:val="Point0number"/>
        <w:rPr>
          <w:noProof/>
        </w:rPr>
      </w:pPr>
      <w:r>
        <w:rPr>
          <w:noProof/>
        </w:rPr>
        <w:t>Na Rumunjsku se trenutačno primjenjuje preventivni dio Pakta o stabilnosti i rastu. Vlada u svojem Programu konverg</w:t>
      </w:r>
      <w:r>
        <w:rPr>
          <w:noProof/>
        </w:rPr>
        <w:t>encije za 2017. planira ukupni deficit od 2,9 % BDP-a u 2017. i 2018. te nakon toga postupno smanjenje na 2,0% BDP-a do 2020. Ostvarenje srednjoročnog proračunskog cilja, tj. strukturnog deficita od 1 % BDP-a, ne očekuje se do kraja programa 2020. Predviđa</w:t>
      </w:r>
      <w:r>
        <w:rPr>
          <w:noProof/>
        </w:rPr>
        <w:t xml:space="preserve"> se da će ponovno izračunani</w:t>
      </w:r>
      <w:r>
        <w:rPr>
          <w:rStyle w:val="FootnoteReference"/>
          <w:noProof/>
        </w:rPr>
        <w:footnoteReference w:id="9"/>
      </w:r>
      <w:r>
        <w:rPr>
          <w:noProof/>
        </w:rPr>
        <w:t xml:space="preserve"> strukturni saldo do 2020. dosegnuti -2.6 %. Prema Programu konvergencije očekuje se da će se udio duga opće države u BDP-u povećati od 37,6 % BDP-a u 2016. na 38,3 % BDP-a u 2018., a zatim će se smanjiti na 37,6 % BDP-a u 2020</w:t>
      </w:r>
      <w:r>
        <w:rPr>
          <w:noProof/>
        </w:rPr>
        <w:t>. Makroekonomski scenarij na kojem se temelje proračunske projekcije povoljan je. Glavni negativni rizik u pogledu makroekonomskih izgleda proizlazi iz slabijeg učinka fiskalnih i strukturnih mjera na kratkoročne i srednjoročne izglede za rast. Istodobno n</w:t>
      </w:r>
      <w:r>
        <w:rPr>
          <w:noProof/>
        </w:rPr>
        <w:t>isu dovoljno precizirane mjere potrebne za potporu planiranim ciljevima u pogledu deficita. Osim toga, nacrt jedinstvenog zakona o plaćama znatan je negativni rizik u pogledu fiskalne prognoze.</w:t>
      </w:r>
    </w:p>
    <w:p w:rsidR="005D63CB" w:rsidRDefault="006004CE">
      <w:pPr>
        <w:pStyle w:val="Point0number"/>
        <w:rPr>
          <w:noProof/>
        </w:rPr>
      </w:pPr>
      <w:r>
        <w:rPr>
          <w:noProof/>
        </w:rPr>
        <w:t xml:space="preserve">Vijeće je 12. srpnja 2016. preporučilo Rumunjskoj da ograniči </w:t>
      </w:r>
      <w:r>
        <w:rPr>
          <w:noProof/>
        </w:rPr>
        <w:t>odstupanje od srednjoročnog proračunskog cilja u 2016. i ostvari godišnju fiskalnu prilagodbu od 0,5 % BDP-a u 2017., osim ako se srednjoročni proračunski cilj ostvari uz niži napor. Prema stvarnim podacima za 2016. Rumunjska znatno odstupa od srednjoročno</w:t>
      </w:r>
      <w:r>
        <w:rPr>
          <w:noProof/>
        </w:rPr>
        <w:t>g proračunskog cilja. U skladu s člankom 121. stavkom 4 UFEU-a i člankom 10. stavkom 2. Uredbe Vijeća (EZ) br. 1466/97, Komisija je 22. svibnja 2017. upozorila Rumunjsku da je u 2016. uočeno znatno odstupanje od srednjoročnog proračunskog cilja. [Dana XX V</w:t>
      </w:r>
      <w:r>
        <w:rPr>
          <w:noProof/>
        </w:rPr>
        <w:t>ijeće je donijelo naknadnu preporuku kojom se potvrđuje da bi Rumunjska trebala poduzeti potrebne mjere kako bi osigurala da nominalna stopa rasta neto primarnih državnih rashoda</w:t>
      </w:r>
      <w:r>
        <w:rPr>
          <w:rStyle w:val="FootnoteReference"/>
          <w:noProof/>
        </w:rPr>
        <w:footnoteReference w:id="10"/>
      </w:r>
      <w:r>
        <w:rPr>
          <w:noProof/>
        </w:rPr>
        <w:t xml:space="preserve"> u 2017. ne prijeđe 3,3 %, što odgovara godišnjoj strukturnoj prilagodbi od 0</w:t>
      </w:r>
      <w:r>
        <w:rPr>
          <w:noProof/>
        </w:rPr>
        <w:t xml:space="preserve">,5 % BDP-a.] Na temelju Komisijine proljetne prognoze 2017. postoji rizik znatnog odstupanja od preporučene prilagodbe u 2017. </w:t>
      </w:r>
    </w:p>
    <w:p w:rsidR="005D63CB" w:rsidRDefault="006004CE">
      <w:pPr>
        <w:pStyle w:val="Point0number"/>
        <w:rPr>
          <w:noProof/>
        </w:rPr>
      </w:pPr>
      <w:r>
        <w:rPr>
          <w:noProof/>
        </w:rPr>
        <w:t>S obzirom na njezinu fiskalnu situaciju očekuje se da se Rumunjska 2018. dodatno prilagodi ostvarenju svojeg srednjoročnog prora</w:t>
      </w:r>
      <w:r>
        <w:rPr>
          <w:noProof/>
        </w:rPr>
        <w:t>čunskog cilja, odnosno strukturnog deficita od 1 % BDP-a. Prema zajednički dogovorenoj matrici prilagodbe u okviru Pakta o stabilnosti i rastu ta prilagodba trebala bi dovesti do stope nominalnog rasta neto primarnih državnih rashoda koja ne premašuje 4,3 </w:t>
      </w:r>
      <w:r>
        <w:rPr>
          <w:noProof/>
        </w:rPr>
        <w:t>%. To bi odgovaralo strukturnoj prilagodbi od 0,5 % BDP-a. Ne bude li promjene u politikama, postojat će rizik od znatnog odstupanja od tog zahtjeva u 2018. Osim toga, u proljetnoj prognozi Komisije za 2017. predviđa se deficit opće države od 3,5 % BDP-a z</w:t>
      </w:r>
      <w:r>
        <w:rPr>
          <w:noProof/>
        </w:rPr>
        <w:t>a 2017. i 3,7% BDP-a za 2018., što je iznad referentne vrijednosti od 3 % BDP-a iz Ugovora. Općenito, Vijeće smatra da će od 2017. biti potrebne znatne dodatne mjere kako bi se poštovale odredbe Pakta o stabilnosti i rastu, s obzirom na znatno pogoršanje f</w:t>
      </w:r>
      <w:r>
        <w:rPr>
          <w:noProof/>
        </w:rPr>
        <w:t>iskalnih izgleda[, u skladu s preporukom upućenom Rumunjskoj dana XX radi ispravljanja znatnog odstupanja od kretanja prilagodbe prema ostvarenju srednjoročnog proračunskog cilja].</w:t>
      </w:r>
    </w:p>
    <w:p w:rsidR="005D63CB" w:rsidRDefault="006004CE">
      <w:pPr>
        <w:pStyle w:val="Point0number"/>
        <w:rPr>
          <w:noProof/>
        </w:rPr>
      </w:pPr>
      <w:r>
        <w:rPr>
          <w:noProof/>
        </w:rPr>
        <w:t>Fiskalni okvir u Rumunjskoj ima dobre odredbe, ali se u praksi ne primjenju</w:t>
      </w:r>
      <w:r>
        <w:rPr>
          <w:noProof/>
        </w:rPr>
        <w:t>je u potpunosti. Proračun za 2016. znatno je odstupio od srednjoročnog cilja, a to je strukturni deficit od 1 % BDP-a, čime je prekršeno pravilo o deficitu u nacionalnom fiskalnom okviru. Proračun za 2017. dodatno odstupa od pravila o nacionalnom fiskalnom</w:t>
      </w:r>
      <w:r>
        <w:rPr>
          <w:noProof/>
        </w:rPr>
        <w:t xml:space="preserve"> okviru. Kao i prethodnih godina, nadležna tijela nisu ni u 2016. parlamentu dostavila ažuriranu fiskalnu strategiju do propisanog roka u kolovozu. Zbog toga se srednjoročna fiskalna strategija nije temeljila na godišnjem proračunskom postupku.</w:t>
      </w:r>
    </w:p>
    <w:p w:rsidR="005D63CB" w:rsidRDefault="006004CE">
      <w:pPr>
        <w:pStyle w:val="Point0number"/>
        <w:rPr>
          <w:noProof/>
        </w:rPr>
      </w:pPr>
      <w:r>
        <w:rPr>
          <w:noProof/>
        </w:rPr>
        <w:t>Zahvaljujući solidnim zaštitnim slojevima kapitala i sve većoj profitabilnosti, stanje u bankarskom sektoru nastavilo se poboljšavati i u 2016. Nadležna tijela obvezala su se da će provesti sveobuhvatnu reviziju kvalitete imovine i testiranje otpornosti ba</w:t>
      </w:r>
      <w:r>
        <w:rPr>
          <w:noProof/>
        </w:rPr>
        <w:t>nkarskog sektora u 2018. Zakon o otpustu duga stupio je na snagu u svibnju 2016., no rizici za bankarski sektor u znatnoj su mjeri ublaženi odlukom ustavnog suda da će sudovi imati obvezu procijeniti ispunjavaju li dužnici zakonodavne odredbe o poteškoćama</w:t>
      </w:r>
      <w:r>
        <w:rPr>
          <w:noProof/>
        </w:rPr>
        <w:t>. Zakon o konverziji kredita denominiranih u švicarskim francima koji je parlament donio u listopadu 2016. nedavno je proglašen neustavnim. Međutim, periodične zakonodavne inicijative i dalje oslabljuju pravnu predvidljivost i mogle bi negativno utjecati n</w:t>
      </w:r>
      <w:r>
        <w:rPr>
          <w:noProof/>
        </w:rPr>
        <w:t>a raspoloženje ulagača.</w:t>
      </w:r>
    </w:p>
    <w:p w:rsidR="005D63CB" w:rsidRDefault="006004CE">
      <w:pPr>
        <w:pStyle w:val="Point0number"/>
        <w:rPr>
          <w:noProof/>
        </w:rPr>
      </w:pPr>
      <w:r>
        <w:rPr>
          <w:noProof/>
        </w:rPr>
        <w:t>Utaja poreza česta je u Rumunjskoj, a njezine su posljedice smanjenje poreznih prihoda i porezne pravednosti te narušavanje gospodarstva. Rumunjska je kao odgovor na preporuku jačanja porezne discipline i ubiranja poreza ostvarila o</w:t>
      </w:r>
      <w:r>
        <w:rPr>
          <w:noProof/>
        </w:rPr>
        <w:t xml:space="preserve">graničen napredak. U 2016. izmijenjeni su postupci prijave i povrata PDV-a, a u tijeku je uvođenje elektroničkih registarskih blagajni povezanih s poreznom upravom na nacionalnoj razini. Od 2017. na sektore hotelijerstva, ugostiteljskih usluga i povezanih </w:t>
      </w:r>
      <w:r>
        <w:rPr>
          <w:noProof/>
        </w:rPr>
        <w:t>sektora primjenjuje se poseban režim, prema kojem se davanja utvrđuju bez obzira na dohodovni razred. Osim toga, uvedena su ograničenja u pogledu samozapošljavanja i obiteljskih poduzeća radi obeshrabrivanja prakse izbjegavanja poreza. U 2016. uočeno je po</w:t>
      </w:r>
      <w:r>
        <w:rPr>
          <w:noProof/>
        </w:rPr>
        <w:t>boljšanje porezne discipline u vezi s poreznim prijavama i plaćanjima, no zajedničke porezne i radne inspekcije i revizije nisu dovele do boljih rezultata. Osim toga, znatno je povećan prag prometa u poreznom režimu za mikropoduzeća, a stopa je snižena, či</w:t>
      </w:r>
      <w:r>
        <w:rPr>
          <w:noProof/>
        </w:rPr>
        <w:t>me je omogućena porezna disciplina na štetu poreznih prihoda. Sektorskim i kategorijskim pristupima oporezivanju poduzeća može se poduzećima i poreznim vlastima nametnuti administrativno opterećenje, premda se njima ne poboljšava ubiranje poreza.</w:t>
      </w:r>
    </w:p>
    <w:p w:rsidR="005D63CB" w:rsidRDefault="006004CE">
      <w:pPr>
        <w:pStyle w:val="Point0number"/>
        <w:rPr>
          <w:noProof/>
        </w:rPr>
      </w:pPr>
      <w:r>
        <w:rPr>
          <w:noProof/>
        </w:rPr>
        <w:t>Raspodjel</w:t>
      </w:r>
      <w:r>
        <w:rPr>
          <w:noProof/>
        </w:rPr>
        <w:t>a raspoloživog dohotka kućanstava (uzimajući u obzir veličinu kućanstva) u Rumunjskoj osobito je neravnomjerna, što umanjuje njezin potencijal održivog i uključivog rasta. Najbogatijih 20 % stanovništva imaju prihode koji su više od osam puta veći od priho</w:t>
      </w:r>
      <w:r>
        <w:rPr>
          <w:noProof/>
        </w:rPr>
        <w:t>da najsiromašnijih 20 %. Taj je omjer znatno viši od prosjeka EU-a. Uzroci nejednakosti u znatnoj su mjeri nejednak pristup zdravstvenoj skrbi, obrazovanju, uslugama i tržištu rada. Osim toga, razlika između nejednakosti dohotka prije i nakon poreza i soci</w:t>
      </w:r>
      <w:r>
        <w:rPr>
          <w:noProof/>
        </w:rPr>
        <w:t>jalnih transfera među najnižima je u EU-u. Pokazatelj socijalne referentnosti, na kojem se temelje glavne socijalne naknade, nije ažuriran od uvođenja 2008. I dalje prevladava neprijavljeni rad, među ostalim i isplata plaća u gotovini, što umanjuje porezne</w:t>
      </w:r>
      <w:r>
        <w:rPr>
          <w:noProof/>
        </w:rPr>
        <w:t xml:space="preserve"> prihode, narušava gospodarstvo i ugrožava učinkovitost i pravednost poreznog sustava i sustava naknada. U okviru pilot-projekta pokrenute su zajedničke inspekcije na nacionalnoj razini koje su provodili porezna uprava i inspektorati rada, no one dosad nis</w:t>
      </w:r>
      <w:r>
        <w:rPr>
          <w:noProof/>
        </w:rPr>
        <w:t xml:space="preserve">u ostvarile sustavni učinak. Resursi nisu usmjereni na sektore s najvišim rizikom utaje poreza, ograničeni napori usmjereni su na isplatu plaća u gotovini, a mjere prisile prevladavaju u odnosu na preventivne mjere. </w:t>
      </w:r>
    </w:p>
    <w:p w:rsidR="005D63CB" w:rsidRDefault="006004CE">
      <w:pPr>
        <w:pStyle w:val="Point0number"/>
        <w:rPr>
          <w:noProof/>
          <w:szCs w:val="24"/>
        </w:rPr>
      </w:pPr>
      <w:r>
        <w:rPr>
          <w:noProof/>
        </w:rPr>
        <w:t>Rezultati na tržištu rada poboljšali su</w:t>
      </w:r>
      <w:r>
        <w:rPr>
          <w:noProof/>
        </w:rPr>
        <w:t xml:space="preserve"> se u 2016., kada je stopa nezaposlenosti pala na nisku razinu zabilježenu prije krize. Radna snaga i dalje se smanjuje zbog starenja stanovništva i visoke stope iseljavanja. Niska stopa nezaposlenosti popraćena je jednom od najviših stopa neaktivnosti u E</w:t>
      </w:r>
      <w:r>
        <w:rPr>
          <w:noProof/>
        </w:rPr>
        <w:t>U-u. Stope zaposlenosti i aktivnosti mladih, žena, niskokvalificiranih osoba, osoba s invaliditetom i Roma znatno su ispod prosjeka EU-a. Stopa mladih koji ne rade ili nisu u postupku obrazovanja ili osposobljavanja i dalje je vrlo visoka.</w:t>
      </w:r>
    </w:p>
    <w:p w:rsidR="005D63CB" w:rsidRDefault="006004CE">
      <w:pPr>
        <w:pStyle w:val="Point0number"/>
        <w:rPr>
          <w:noProof/>
          <w:szCs w:val="24"/>
        </w:rPr>
      </w:pPr>
      <w:r>
        <w:rPr>
          <w:noProof/>
        </w:rPr>
        <w:t>Premda se smanju</w:t>
      </w:r>
      <w:r>
        <w:rPr>
          <w:noProof/>
        </w:rPr>
        <w:t>je, rizik od siromaštva ili socijalne isključenosti vrlo je visok, posebno za obitelji s djecom, osobe s invaliditetom, Rome i seosko stanovništvo. Sveobuhvatni paket mjera za borbu protiv siromaštva u okviru promjene politika radi boljeg pružanja usluga p</w:t>
      </w:r>
      <w:r>
        <w:rPr>
          <w:noProof/>
        </w:rPr>
        <w:t>rilagođenih određenim skupinama stanovništva donesen je 2016. Njime je predviđen i pilot-projekt za uspostavu integriranih usluga u marginaliziranim zajednicama. Uvođenjem na nacionalnoj razini znatno bi se povećala trenutačno niska stopa pružanja integrir</w:t>
      </w:r>
      <w:r>
        <w:rPr>
          <w:noProof/>
        </w:rPr>
        <w:t>anih usluga. Kao odgovor na uzastopne preporuke za Rumunjsku, donesen je zakon o minimalnom dohotku za uključivanje, koji treba stupiti na snagu u 2018. Minimalnim dohotkom za uključivanje poboljšava se prikladnost i opseg socijalne pomoći. Njime se kombin</w:t>
      </w:r>
      <w:r>
        <w:rPr>
          <w:noProof/>
        </w:rPr>
        <w:t>ira pasivna potpora s obveznim aktivnim mjerama tržišta rada i inspekcijama. Njegov je aktivacijski potencijal ipak skroman s obzirom na to da mu je cilj dosegnuti 25 % korisnika mjera aktivne politike tržišta rada do 2021.</w:t>
      </w:r>
    </w:p>
    <w:p w:rsidR="005D63CB" w:rsidRDefault="006004CE">
      <w:pPr>
        <w:pStyle w:val="Point0number"/>
        <w:rPr>
          <w:noProof/>
        </w:rPr>
      </w:pPr>
      <w:r>
        <w:rPr>
          <w:noProof/>
        </w:rPr>
        <w:t>Ojačane su politike aktivacije u</w:t>
      </w:r>
      <w:r>
        <w:rPr>
          <w:noProof/>
        </w:rPr>
        <w:t xml:space="preserve"> okviru reforme Nacionalne agencije za zapošljavanje. Reforme obuhvaćaju više integriranih usluga i potporu namijenjene osobama koje traže posao i poslodavcima. Poboljšavaju se inicijative i usluge koje se nude mladima koji ne rade ili nisu u postupku obra</w:t>
      </w:r>
      <w:r>
        <w:rPr>
          <w:noProof/>
        </w:rPr>
        <w:t>zovanja ili osposobljavanja. Međutim, politike aktivacije koje se nude skupinama koja su najudaljenije od tržišta rada i dalje su ograničena opsega, a nedavno predložene mjere aktivacije više nisu usredotočene na te konkretne skupine. Njihov opseg i poveza</w:t>
      </w:r>
      <w:r>
        <w:rPr>
          <w:noProof/>
        </w:rPr>
        <w:t>nost sa socijalnim službama nedostatne su da bi se posebno tim skupinama znatno poboljšalo sudjelovanje na tržištu rada.</w:t>
      </w:r>
    </w:p>
    <w:p w:rsidR="005D63CB" w:rsidRDefault="006004CE">
      <w:pPr>
        <w:pStyle w:val="Point0number"/>
        <w:rPr>
          <w:noProof/>
        </w:rPr>
      </w:pPr>
      <w:r>
        <w:rPr>
          <w:noProof/>
        </w:rPr>
        <w:t xml:space="preserve">Primjerenost mirovina i siromaštvo u starosti znatno su rodno obilježeni jer ako su svi drugi uvjeti jednaki, niža dob za umirovljenje </w:t>
      </w:r>
      <w:r>
        <w:rPr>
          <w:noProof/>
        </w:rPr>
        <w:t>žena rezultira nižim mirovinskim pravima. Rumunjska je jedna od malobrojnih članica EU-a u čijem zakonodavstvu nije predviđena konvergencija dobi umirovljenja žena i muškaraca. Zakon o izjednačavanju dobi za umirovljenje muškaraca i žena dostavljen je parl</w:t>
      </w:r>
      <w:r>
        <w:rPr>
          <w:noProof/>
        </w:rPr>
        <w:t xml:space="preserve">amentu 2013. Zakon je zasad donio jedino Senat. </w:t>
      </w:r>
    </w:p>
    <w:p w:rsidR="005D63CB" w:rsidRDefault="006004CE">
      <w:pPr>
        <w:pStyle w:val="Point0number"/>
        <w:rPr>
          <w:noProof/>
        </w:rPr>
      </w:pPr>
      <w:r>
        <w:rPr>
          <w:noProof/>
        </w:rPr>
        <w:t>S obzirom na razvoj produktivnosti, konvergenciju prihoda i konkurentski položaj Rumunjske, povećanja plaća u javnom i privatnom sektoru zaslužuju posebnu pozornost. Povećanja plaća u javnom sektoru mogla bi</w:t>
      </w:r>
      <w:r>
        <w:rPr>
          <w:noProof/>
        </w:rPr>
        <w:t xml:space="preserve"> se preliti u privatni sektor, što bi utjecalo na konkurentnost Rumunjske. Premda je jedna od najnižih u EU-u, razina minimalne plaće u Rumunjskoj znatno se povećala posljednjih godina. </w:t>
      </w:r>
      <w:r>
        <w:rPr>
          <w:i/>
          <w:noProof/>
        </w:rPr>
        <w:t>Ad hoc</w:t>
      </w:r>
      <w:r>
        <w:rPr>
          <w:noProof/>
        </w:rPr>
        <w:t xml:space="preserve"> povećanjima minimalnih plaća znatno se povećao udio radnika koj</w:t>
      </w:r>
      <w:r>
        <w:rPr>
          <w:noProof/>
        </w:rPr>
        <w:t xml:space="preserve">i zarađuju minimalnu plaću, što je u posljednje vrijeme dovelo do snažnog pritiska u najdonjem segmentu distribucije plaća. Kao odgovor na preporuku za Rumunjsku, početkom 2016. osnovana je trostrana radna skupina za određivanje minimalne plaće na temelju </w:t>
      </w:r>
      <w:r>
        <w:rPr>
          <w:noProof/>
        </w:rPr>
        <w:t>objektivnih gospodarskih i socijalnih kriterija te kriterija tržišta rada, no njezin je rad obilježen velikim kašnjenjima i potrebno ga je na odgovarajući način primijeniti. Socijalni dijalog i dalje je obilježen niskom stopom kolektivnog pregovaranja na s</w:t>
      </w:r>
      <w:r>
        <w:rPr>
          <w:noProof/>
        </w:rPr>
        <w:t xml:space="preserve">ektorskoj razini i institucijskim slabostima koje ograničavaju učinkovitost reformi. </w:t>
      </w:r>
    </w:p>
    <w:p w:rsidR="005D63CB" w:rsidRDefault="006004CE">
      <w:pPr>
        <w:pStyle w:val="Point0number"/>
        <w:rPr>
          <w:noProof/>
        </w:rPr>
      </w:pPr>
      <w:r>
        <w:rPr>
          <w:noProof/>
        </w:rPr>
        <w:t>Kako bi se pronašao i zadržao dobar i stabilan posao i uspješno sudjelovalo u ekonomskom i društvenom životu, ključno je posjedovati dovoljne osnovne vještine. Međunarodn</w:t>
      </w:r>
      <w:r>
        <w:rPr>
          <w:noProof/>
        </w:rPr>
        <w:t>a istraživanja upućuju na ozbiljne nedostatke u rezultatima koje rumunjski tinejdžeri postižu u području osnovnih vještina. Visoka stopa ranog napuštanja školovanja, niska stopa stjecanja visokog obrazovanja i visoka stopa emigracije uzrok su nedovoljne po</w:t>
      </w:r>
      <w:r>
        <w:rPr>
          <w:noProof/>
        </w:rPr>
        <w:t>nude kvalificirane radne snage. U ruralnim područjima ograničen je pristup redovnom obrazovanju, a posebno romskoj djeci. Niža razina obrazovanja romske djece posljedica je slabog zanimanja dobrih nastavnika za radna mjesta u ruralnim područjima i u školam</w:t>
      </w:r>
      <w:r>
        <w:rPr>
          <w:noProof/>
        </w:rPr>
        <w:t>a s pretežito romskom djecom uz segregaciju, a često i diskriminaciju. Kao odgovor na ponavljane preporuke Rumunjska je donijela i počela primjenjivati strategiju za rješavanje problema ranog napuštanja škole. Nedavne mjere obuhvaćaju integrirana djelovanj</w:t>
      </w:r>
      <w:r>
        <w:rPr>
          <w:noProof/>
        </w:rPr>
        <w:t>a, pilot-program uvođenja toplog obroka, bolju nadoknadu troškova prijevoza i socijalne vaučere radi poticanja predškolskog obrazovanja siromašne djece. Za jesen 2017. planiraju se mjere na temelju projekata financiranih sredstvima EU-a radi poboljšanja kv</w:t>
      </w:r>
      <w:r>
        <w:rPr>
          <w:noProof/>
        </w:rPr>
        <w:t>alitete nastave u školama u nepovoljnom položaju, a u tijeku je i djelomična modernizacija školskih programa. Poboljšano je zakonodavstvo za suzbijanje segregacije, primjerice jačanjem ovlasti prosvjetnih inspekcija u tom području. No i dalje nedostaje met</w:t>
      </w:r>
      <w:r>
        <w:rPr>
          <w:noProof/>
        </w:rPr>
        <w:t xml:space="preserve">odologija praćenja. Potrebne su dodatne mjere kako bi se nastavio napredak u suzbijanju socioekonomskih nejednakosti u obrazovanju. Garancija za mlade tek djelomično dopire do osoba koje su rano napustile školovanje, a programi pružanja druge prilike nisu </w:t>
      </w:r>
      <w:r>
        <w:rPr>
          <w:noProof/>
        </w:rPr>
        <w:t xml:space="preserve">lako dostupni. Sustav strukovnog obrazovanja i izobrazbe nije dovoljno usklađen s potrebama tržišta rada, a niska je i stopa sudjelovanja u obrazovanju odraslih. </w:t>
      </w:r>
    </w:p>
    <w:p w:rsidR="005D63CB" w:rsidRDefault="006004CE">
      <w:pPr>
        <w:pStyle w:val="Point0number"/>
        <w:rPr>
          <w:noProof/>
        </w:rPr>
      </w:pPr>
      <w:r>
        <w:rPr>
          <w:noProof/>
        </w:rPr>
        <w:t>Rezultati u zdravstvu u Rumunjskoj loši su. Dostupnost kvalitetne zdravstvene skrbi trpi zbog</w:t>
      </w:r>
      <w:r>
        <w:rPr>
          <w:noProof/>
        </w:rPr>
        <w:t xml:space="preserve"> nedostatka zdravstvenih radnika, manjka sredstava, prekomjernog oslanjanja na bolničku skrb te zbog korupcije, što osobito pogađa ljude s niskim primanjima i u ruralnim područjima. Osim neformalnih plaćanja zdravstvenim radnicima, korupcijom su zahvaćeni </w:t>
      </w:r>
      <w:r>
        <w:rPr>
          <w:noProof/>
        </w:rPr>
        <w:t xml:space="preserve">i javna nabava u bolnicama, prijevare u osiguranju i davanje mita za potvrde kojima se stječu prava na naknadu. Rumunjska je kao odgovor na preporuku i u okviru </w:t>
      </w:r>
      <w:r>
        <w:rPr>
          <w:i/>
          <w:noProof/>
        </w:rPr>
        <w:t>ex-ante</w:t>
      </w:r>
      <w:r>
        <w:rPr>
          <w:noProof/>
        </w:rPr>
        <w:t xml:space="preserve"> uvjeta za razdoblje financiranja EU-a od 2014. – 2020. poduzela određene mjere politika</w:t>
      </w:r>
      <w:r>
        <w:rPr>
          <w:noProof/>
        </w:rPr>
        <w:t xml:space="preserve"> kako bi preusmjerila bolesnike s bolničke na izvanbolničku zdravstvenu skrb. Izrađeni su regionalni planovi zdravstvene skrbi kako bi se utvrdile potrebe u pogledu infrastrukture i usluga, a prati se provedba nacionalne strategije zdravstvene skrbi. U skl</w:t>
      </w:r>
      <w:r>
        <w:rPr>
          <w:noProof/>
        </w:rPr>
        <w:t>adu s nacionalnom strategijom suzbijanja korupcije 2016. – 2020., doneseni su propisi za obnovu sustava povratnih informacija o neformalnim plaćanjima i povećane su plaće zdravstvenim radnicima. Strategija suzbijanja korupcije temelji se na sveobuhvatnim m</w:t>
      </w:r>
      <w:r>
        <w:rPr>
          <w:noProof/>
        </w:rPr>
        <w:t>jerama u zdravstvenom sektoru, među ostalim povećanjem odgovornosti i transparentnim zapošljavanjem upravitelja bolnica. Bez obzira na to, skrb na razini lokalne zajednice, ambulantna skrb i sustavi upućivanja nisu se odmakli od početne faze, i dalje prevl</w:t>
      </w:r>
      <w:r>
        <w:rPr>
          <w:noProof/>
        </w:rPr>
        <w:t xml:space="preserve">adavaju neformalna plaćanja, tek treba osigurati transparentnost u upravljanju bolnicama, a nacionalna strategija o zaposlenima u zdravstvu u postupku je donošenja. </w:t>
      </w:r>
    </w:p>
    <w:p w:rsidR="005D63CB" w:rsidRDefault="006004CE">
      <w:pPr>
        <w:pStyle w:val="Point0number"/>
        <w:rPr>
          <w:noProof/>
        </w:rPr>
      </w:pPr>
      <w:r>
        <w:rPr>
          <w:noProof/>
        </w:rPr>
        <w:t>Administrativni kapacitet i kapacitet izrade politika Rumunjske trpe zbog netransparentnos</w:t>
      </w:r>
      <w:r>
        <w:rPr>
          <w:noProof/>
        </w:rPr>
        <w:t>ti postupaka i odlučivanja, prevelikog opterećenja administrativnim postupcima, nedovoljne primjene kvalitetnih dokaza, slabe usklađenosti sektorskih politika i raširene korupcije. Napredak reforme javne uprave ograničena je dosega. Organizacijske struktur</w:t>
      </w:r>
      <w:r>
        <w:rPr>
          <w:noProof/>
        </w:rPr>
        <w:t>e i dalje su nestabilne, što utječe na neovisnost i učinkovitost javne uprave. Strategije za javnu službu pokrenute su 2016., ali zakonodavni okvir još uvijek ne uključuje neke od njihovih glavnih ciljeva, posebno u pogledu objektivnih kriterija za zapošlj</w:t>
      </w:r>
      <w:r>
        <w:rPr>
          <w:noProof/>
        </w:rPr>
        <w:t>avanje, ocjenjivanje i nagrađivanje osoblja. Predloženo je usklađivanje razina plaća u određenoj mjeri, ali nema jasne veze između uspješnosti i plaće na središnjoj i lokalnoj razini. Potrebno je dodatno ojačati kapacitet i ovlasti Agencije za javnu službu</w:t>
      </w:r>
      <w:r>
        <w:rPr>
          <w:noProof/>
        </w:rPr>
        <w:t xml:space="preserve">. Neke od mjera za poboljšanje transparentnosti u području izrade politika pokrenute 2016. ukinut će se. Strateško planiranje i procjena regulatornog učinka nisu se ustalili u upravnoj praksi. </w:t>
      </w:r>
    </w:p>
    <w:p w:rsidR="005D63CB" w:rsidRDefault="006004CE">
      <w:pPr>
        <w:pStyle w:val="Point0number"/>
        <w:rPr>
          <w:noProof/>
        </w:rPr>
      </w:pPr>
      <w:r>
        <w:rPr>
          <w:noProof/>
        </w:rPr>
        <w:t xml:space="preserve">Nedostatna kvaliteta i opseg prometne infrastrukture jedna je </w:t>
      </w:r>
      <w:r>
        <w:rPr>
          <w:noProof/>
        </w:rPr>
        <w:t>od najvećih prepreka gospodarskom razvoju Rumunjske. Rumunjska je kao odgovor na preporuke i radi rješavanja predmetnih nedostataka u jesen 2016. donijela glavni prometni plan. Kako bi se ubrzala ulaganja u cestovnu infrastrukturu, upravljanje ulaganjima u</w:t>
      </w:r>
      <w:r>
        <w:rPr>
          <w:noProof/>
        </w:rPr>
        <w:t xml:space="preserve"> infrastrukturu izuzeto je iz nadležnosti tijela zaduženog za upravljanje infrastrukturom. U 2016. osnovano je tijelo sa zadaćom reformiranja željezničkog sustava, koje bi trebalo početi s radom do polovine 2017.</w:t>
      </w:r>
    </w:p>
    <w:p w:rsidR="005D63CB" w:rsidRDefault="006004CE">
      <w:pPr>
        <w:pStyle w:val="Point0number"/>
        <w:rPr>
          <w:noProof/>
        </w:rPr>
      </w:pPr>
      <w:r>
        <w:rPr>
          <w:noProof/>
        </w:rPr>
        <w:t>Rumunjska je posljednjih godina među zemlja</w:t>
      </w:r>
      <w:r>
        <w:rPr>
          <w:noProof/>
        </w:rPr>
        <w:t>ma s najvišim omjerom ulaganja u EU-u. Međutim, javna ulaganja smanjila su se 2016., među ostalim i zbog niske iskorištenosti sredstava EU-a. Visoka stopa apsorpcije i učinkovita upotreba sredstava EU-a ključni su čimbenici za iskorištavanje razvojnog pote</w:t>
      </w:r>
      <w:r>
        <w:rPr>
          <w:noProof/>
        </w:rPr>
        <w:t xml:space="preserve">ncijala Rumunjske, osobito u bitnim sektorima kao što su promet ili gospodarenje otpadom. Na kvalitetu javnih ulaganja negativno su utjecali i nedostatci u upravljanju i promjena prioriteta. Kao odgovor na preporuku ostvaren je neznatan napredak u pogledu </w:t>
      </w:r>
      <w:r>
        <w:rPr>
          <w:noProof/>
        </w:rPr>
        <w:t>kvalitetnijeg određivanja prioriteta i pripreme projekata javnih ulaganja. Od kolovoza 2016. ministarstva su u svojim planovima rashoda obvezna uzeti u obzir prioritete ulaganja, ali nisu poduzete druge mjere za jačanje uloge Ministarstva financija u određ</w:t>
      </w:r>
      <w:r>
        <w:rPr>
          <w:noProof/>
        </w:rPr>
        <w:t>ivanju prioriteta ulaganja i za bolje usklađivanje pripreme projekata javnih ulaganja među ministarstvima. Nacionalni plan gospodarenja otpadom i program za sprečavanje stvaranja otpada trebali su biti doneseni do kraja 2016., ali to još uvijek nije slučaj</w:t>
      </w:r>
      <w:r>
        <w:rPr>
          <w:noProof/>
        </w:rPr>
        <w:t>. Potrebni su i planovi za poboljšanje upravljanja i provedbe propisa kako bi se nacionalna sredstva i sredstva EU-a usmjeravala na ostvarivanje standarda EU-a u području zaštite okoliša.</w:t>
      </w:r>
    </w:p>
    <w:p w:rsidR="005D63CB" w:rsidRDefault="006004CE">
      <w:pPr>
        <w:pStyle w:val="Point0number"/>
        <w:rPr>
          <w:noProof/>
        </w:rPr>
      </w:pPr>
      <w:r>
        <w:rPr>
          <w:noProof/>
        </w:rPr>
        <w:t>Učinkovita javna nabava ključni je čimbenik za ostvarivanje stratešk</w:t>
      </w:r>
      <w:r>
        <w:rPr>
          <w:noProof/>
        </w:rPr>
        <w:t>ih ciljeva i rješavanje najvažnijih izazova u Rumunjskoj, među ostalim učinkovita javna potrošnja, modernizacija javne uprave, suzbijanje korupcije te poticanje inovativnosti i održivog i uključivog rasta. Ona je bitna i zbog povjerenja građana u javne vla</w:t>
      </w:r>
      <w:r>
        <w:rPr>
          <w:noProof/>
        </w:rPr>
        <w:t>sti i demokraciju. Rumunjska je nedavno poduzela mjere za provedbu strategije i akcijskog plana javne nabave. U okviru daljnjeg djelovanja nakon donošenja zakona o javnoj nabavi u svibnju 2016. krajem 2016. doneseno je provedbeno zakonodavstvo, a nacionaln</w:t>
      </w:r>
      <w:r>
        <w:rPr>
          <w:noProof/>
        </w:rPr>
        <w:t xml:space="preserve">im planom za javnu nabavu predviđeno je sprječavanje i suzbijanje korupcije. Međutim, još uvijek nedostaje nekoliko ključnih mjera navedenih u strategiji, primjerice pojačane kontrole i druge mjere suzbijanja korupcije, uvođenje </w:t>
      </w:r>
      <w:r>
        <w:rPr>
          <w:i/>
          <w:noProof/>
        </w:rPr>
        <w:t>e</w:t>
      </w:r>
      <w:r>
        <w:rPr>
          <w:noProof/>
        </w:rPr>
        <w:t>-nabave te osposobljavanje</w:t>
      </w:r>
      <w:r>
        <w:rPr>
          <w:noProof/>
        </w:rPr>
        <w:t xml:space="preserve"> službenika u području javne nabave. </w:t>
      </w:r>
    </w:p>
    <w:p w:rsidR="005D63CB" w:rsidRDefault="006004CE">
      <w:pPr>
        <w:pStyle w:val="Point0number"/>
        <w:rPr>
          <w:noProof/>
        </w:rPr>
      </w:pPr>
      <w:r>
        <w:rPr>
          <w:noProof/>
        </w:rPr>
        <w:t>Više od 45 % rumunjskog stanovništva živi u ruralnim područjima, koja u odnosu na gradska daleko zaostaju u pogledu zapošljavanja i obrazovanja, pristupa uslugama i infrastrukturi te materijalne dobrobiti. Rumunjska je</w:t>
      </w:r>
      <w:r>
        <w:rPr>
          <w:noProof/>
        </w:rPr>
        <w:t xml:space="preserve"> kao odgovor na preporuku da poboljša pristup sveobuhvatnim javnim uslugama, poveća osnovnu infrastrukturu i potakne gospodarsku diversifikaciju 2016. donijela sveobuhvatan skup mjera o ruralnom razvoju, modernizaciji malih poljoprivrednih gospodarstava, p</w:t>
      </w:r>
      <w:r>
        <w:rPr>
          <w:noProof/>
        </w:rPr>
        <w:t>otpori nepoljoprivrednim MSP-ovima, ulaganjima u infrastrukturu, među ostalim u socijalne službe i obrazovanje, te formalizaciju zapošljavanja. Njihov će dugoročni uspjeh ovisiti o sposobnosti da se pilot-programi provedu u većem opsegu te učinkovito usmje</w:t>
      </w:r>
      <w:r>
        <w:rPr>
          <w:noProof/>
        </w:rPr>
        <w:t>re i apsorbiraju dostupna sredstva EU-a.</w:t>
      </w:r>
    </w:p>
    <w:p w:rsidR="005D63CB" w:rsidRDefault="006004CE">
      <w:pPr>
        <w:pStyle w:val="Point0number"/>
        <w:rPr>
          <w:noProof/>
        </w:rPr>
      </w:pPr>
      <w:r>
        <w:rPr>
          <w:noProof/>
        </w:rPr>
        <w:t>Poduzeća u državnom vlasništvu imaju važnu ulogu u gospodarstvu, a posebno u ključnim infrastrukturnim sektorima. Slabosti u upravljanju poduzećima u državnom vlasništvu uzrokuju njihovu slabiju profitabilnost u odn</w:t>
      </w:r>
      <w:r>
        <w:rPr>
          <w:noProof/>
        </w:rPr>
        <w:t xml:space="preserve">osu na usporediva poduzeća u privatnom vlasništvu, što ima negativne posljedice za javne financije. Rumunjska je kao odgovor na preporuku ostvarila znatan napredak u području upravljanja poduzećima u državnom vlasništvu. Podzakonski akti uz glavni zakon o </w:t>
      </w:r>
      <w:r>
        <w:rPr>
          <w:noProof/>
        </w:rPr>
        <w:t>upravljanju poduzećima u državnom vlasništvu doneseno je kratkotrajnim postupkom u jesen 2016. Zakonodavni okvir u skladu je s dobrom međunarodnom praksom o transparentnosti imenovanja članova nadzornih odbora i uprava poduzeća u državnom vlasništvu, a Min</w:t>
      </w:r>
      <w:r>
        <w:rPr>
          <w:noProof/>
        </w:rPr>
        <w:t>istarstvu financija daje konkretne ovlasti praćenja i provedbe. Provedene su i aktivnosti podizanje svijesti o novim pravilima među lokalnim tijelima vlasti, a objavljeni su i proračunski podaci o poduzećima u državnom vlasništvu. Međutim, kašnjenja pri im</w:t>
      </w:r>
      <w:r>
        <w:rPr>
          <w:noProof/>
        </w:rPr>
        <w:t xml:space="preserve">enovanju profesionalnih upravitelja izazivaju zabrinutost u pogledu daljnje provedbe. </w:t>
      </w:r>
    </w:p>
    <w:p w:rsidR="005D63CB" w:rsidRDefault="006004CE">
      <w:pPr>
        <w:pStyle w:val="Point0number"/>
        <w:rPr>
          <w:noProof/>
        </w:rPr>
      </w:pPr>
      <w:r>
        <w:rPr>
          <w:noProof/>
        </w:rPr>
        <w:t>Na konkurentnost Rumunjske negativno utječu slabosti netroškovne konkurentnosti i strukturne prepreke prelasku na gospodarstvo s većom dodanom vrijednošću, primjerice sl</w:t>
      </w:r>
      <w:r>
        <w:rPr>
          <w:noProof/>
        </w:rPr>
        <w:t>oženi administrativni postupci. Rumunjska je kao odgovor na preporuku iz 2016. donijela nekoliko zakonodavnih akata za pojednostavnjenje administrativnih postupaka i olakšavanje odnosa između građana i javne uprave, premda su ograničeni na mali broj postup</w:t>
      </w:r>
      <w:r>
        <w:rPr>
          <w:noProof/>
        </w:rPr>
        <w:t xml:space="preserve">aka. </w:t>
      </w:r>
    </w:p>
    <w:p w:rsidR="005D63CB" w:rsidRDefault="006004CE">
      <w:pPr>
        <w:pStyle w:val="Point0number"/>
        <w:rPr>
          <w:noProof/>
        </w:rPr>
      </w:pPr>
      <w:r>
        <w:rPr>
          <w:noProof/>
        </w:rPr>
        <w:t>Korupcija je i dalje prisutna na svim razinama i prepreka je poslovanju. Rumunjska je ostvarila znatan napredak u većem dijelu reforme pravosudnog sustava i rješavanju korupcije na visokoj razini. Međutim, potrebno je provesti ključne korake kojima b</w:t>
      </w:r>
      <w:r>
        <w:rPr>
          <w:noProof/>
        </w:rPr>
        <w:t>i se riješile zabrinutosti u tim područjima, a reforme postale održive i nepovratne. Ostvaren je određeni napredak u pogledu daljnjih mjera za sprječavanje i suzbijanje korupcije, posebno na razini lokalne uprave, ali i dalje su prisutni ozbiljni za učinko</w:t>
      </w:r>
      <w:r>
        <w:rPr>
          <w:noProof/>
        </w:rPr>
        <w:t>vitu provedbu nacionalne antikorupcijske strategije donesene 2016. Potrebni su i napori u pogledu poštovanja neovisnosti sudstva u javnom životu Rumunjske, dovršetka reformi kaznenih i građanskih zakona te osiguranja učinkovitog izvršenja odluka suda. Rumu</w:t>
      </w:r>
      <w:r>
        <w:rPr>
          <w:noProof/>
        </w:rPr>
        <w:t>njska u okviru mehanizma suradnje i provjere dobiva preporuke u područjima reforme pravosuđa i borbe protiv korupcije. Ta područja stoga nisu obuhvaćena preporukama za Rumunjsku.</w:t>
      </w:r>
    </w:p>
    <w:p w:rsidR="005D63CB" w:rsidRDefault="006004CE">
      <w:pPr>
        <w:pStyle w:val="Point0number"/>
        <w:rPr>
          <w:noProof/>
        </w:rPr>
      </w:pPr>
      <w:r>
        <w:rPr>
          <w:noProof/>
        </w:rPr>
        <w:t>Komisija je u okviru europskog semestra provela sveobuhvatnu analizu ekonomske politike Rumunjske i objavila je u izvješću za tu zemlju za 2017. Ocijenila je i Program konvergencije i Nacionalni program reformi te mjere poduzete kao odgovor na preporuke up</w:t>
      </w:r>
      <w:r>
        <w:rPr>
          <w:noProof/>
        </w:rPr>
        <w:t>ućene Rumunjskoj u proteklim godinama. Komisija je u obzir uzela ne samo njihovu važnost za održivu fiskalnu i socioekonomsku politiku u Rumunjskoj nego i njihovu usklađenost s pravilima i smjernicama EU-a s obzirom na potrebu jačanja sveopćeg gospodarskog</w:t>
      </w:r>
      <w:r>
        <w:rPr>
          <w:noProof/>
        </w:rPr>
        <w:t xml:space="preserve"> upravljanja u EU-u na način da se na razini EU-a pridonosi budućim nacionalnim odlukama. </w:t>
      </w:r>
    </w:p>
    <w:p w:rsidR="005D63CB" w:rsidRDefault="006004CE">
      <w:pPr>
        <w:pStyle w:val="Point0number"/>
        <w:rPr>
          <w:noProof/>
        </w:rPr>
      </w:pPr>
      <w:r>
        <w:rPr>
          <w:noProof/>
        </w:rPr>
        <w:t>Uzimajući u obzir tu ocjenu Vijeće je preispitalo Program konvergencije, a njegovo je mišljenje</w:t>
      </w:r>
      <w:r>
        <w:rPr>
          <w:rStyle w:val="FootnoteReference"/>
          <w:noProof/>
        </w:rPr>
        <w:footnoteReference w:id="11"/>
      </w:r>
      <w:r>
        <w:rPr>
          <w:noProof/>
        </w:rPr>
        <w:t xml:space="preserve"> posebno navedeno u preporuci 1. u nastavku,</w:t>
      </w:r>
    </w:p>
    <w:p w:rsidR="005D63CB" w:rsidRDefault="006004CE">
      <w:pPr>
        <w:pStyle w:val="Formuledadoption"/>
        <w:rPr>
          <w:noProof/>
        </w:rPr>
      </w:pPr>
      <w:r>
        <w:rPr>
          <w:noProof/>
        </w:rPr>
        <w:t>PREPORUČUJE da Rumunjska</w:t>
      </w:r>
      <w:r>
        <w:rPr>
          <w:noProof/>
        </w:rPr>
        <w:t xml:space="preserve"> 2017. i 2018. poduzme djelovanja kojima je cilj:</w:t>
      </w:r>
    </w:p>
    <w:p w:rsidR="005D63CB" w:rsidRDefault="006004CE">
      <w:pPr>
        <w:pStyle w:val="ManualNumPar1"/>
        <w:rPr>
          <w:noProof/>
        </w:rPr>
      </w:pPr>
      <w:bookmarkStart w:id="1" w:name="_CopyToNewDocument_"/>
      <w:bookmarkEnd w:id="1"/>
      <w:r>
        <w:rPr>
          <w:noProof/>
        </w:rPr>
        <w:t>1.</w:t>
      </w:r>
      <w:r>
        <w:rPr>
          <w:noProof/>
        </w:rPr>
        <w:tab/>
        <w:t>U 2017. osigurati usklađenost s Preporukom Vijeća od [XX] radi ispravljanja znatnog odstupanja od kretanja prilagodbe prema ostvarenju srednjoročnog proračunskog cilja. U 2018. nastaviti s provedbom fisk</w:t>
      </w:r>
      <w:r>
        <w:rPr>
          <w:noProof/>
        </w:rPr>
        <w:t>alne politike u skladu sa zahtjevima preventivnog dijela Pakta o stabilnosti i rastu, što znači da bi u 2018. trebala ostvariti velik fiskalni napor. Osigurati potpunu primjenu fiskalnog okvira. Ojačati poreznu disciplinu i ubiranje poreza. Suzbijati nepri</w:t>
      </w:r>
      <w:r>
        <w:rPr>
          <w:noProof/>
        </w:rPr>
        <w:t>javljeni rad, među ostalim i osiguranjem sustavne primjene integriranih kontrola.</w:t>
      </w:r>
    </w:p>
    <w:p w:rsidR="005D63CB" w:rsidRDefault="006004CE"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Ojačati ciljane politike aktivacije i integriranih javnih usluga usmjerene na osobe koje su najudaljenije od tržišta rada. Donijeti propise o izjednačavanju dobi za umirov</w:t>
      </w:r>
      <w:r>
        <w:rPr>
          <w:noProof/>
        </w:rPr>
        <w:t>ljenje za muškarce i žene. Utvrditi transparentni mehanizam za određivanje minimalne plaće u suradnji sa socijalnim partnerima. Poboljšati dostupnost redovnog obrazovanja, osobito za Rome te djecu u ruralnim područjima. U zdravstvu bolesnike preusmjeriti n</w:t>
      </w:r>
      <w:r>
        <w:rPr>
          <w:noProof/>
        </w:rPr>
        <w:t>a izvanbolničku zdravstvenu skrb i suzbijati neformalna plaćanja.</w:t>
      </w:r>
    </w:p>
    <w:p w:rsidR="005D63CB" w:rsidRDefault="006004CE"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>Donijeti zakonodavstvo kojim će se na temelju objektivnih kriterija osigurati profesionalna i neovisna javna služba. Ojačati određivanje prioriteta i pripremu u pogledu projekata javnih u</w:t>
      </w:r>
      <w:r>
        <w:rPr>
          <w:noProof/>
        </w:rPr>
        <w:t>laganja. Osigurati pravodobnu, potpunu i održivu provedbu strategije nacionalne javne nabave.</w:t>
      </w:r>
    </w:p>
    <w:p w:rsidR="005D63CB" w:rsidRDefault="005D63CB">
      <w:pPr>
        <w:rPr>
          <w:noProof/>
        </w:rPr>
      </w:pPr>
    </w:p>
    <w:p w:rsidR="005D63CB" w:rsidRDefault="006004CE" w:rsidP="006004CE">
      <w:pPr>
        <w:pStyle w:val="Fait"/>
        <w:rPr>
          <w:noProof/>
        </w:rPr>
      </w:pPr>
      <w:r w:rsidRPr="006004CE">
        <w:t>Sastavljeno u Bruxellesu</w:t>
      </w:r>
    </w:p>
    <w:p w:rsidR="005D63CB" w:rsidRDefault="006004CE">
      <w:pPr>
        <w:pStyle w:val="Institutionquisigne"/>
        <w:rPr>
          <w:noProof/>
        </w:rPr>
      </w:pPr>
      <w:r>
        <w:rPr>
          <w:noProof/>
        </w:rPr>
        <w:tab/>
        <w:t>Za Vijeće</w:t>
      </w:r>
    </w:p>
    <w:p w:rsidR="005D63CB" w:rsidRDefault="006004CE">
      <w:pPr>
        <w:pStyle w:val="Personnequisigne"/>
        <w:rPr>
          <w:noProof/>
        </w:rPr>
      </w:pPr>
      <w:r>
        <w:rPr>
          <w:noProof/>
        </w:rPr>
        <w:tab/>
        <w:t>Predsjednik</w:t>
      </w:r>
    </w:p>
    <w:sectPr w:rsidR="005D63CB" w:rsidSect="006004CE"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3CB" w:rsidRDefault="006004CE">
      <w:pPr>
        <w:spacing w:before="0" w:after="0"/>
      </w:pPr>
      <w:r>
        <w:separator/>
      </w:r>
    </w:p>
  </w:endnote>
  <w:endnote w:type="continuationSeparator" w:id="0">
    <w:p w:rsidR="005D63CB" w:rsidRDefault="006004C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4CE" w:rsidRPr="006004CE" w:rsidRDefault="006004CE" w:rsidP="006004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3CB" w:rsidRPr="006004CE" w:rsidRDefault="006004CE" w:rsidP="006004CE">
    <w:pPr>
      <w:pStyle w:val="Footer"/>
      <w:rPr>
        <w:rFonts w:ascii="Arial" w:hAnsi="Arial" w:cs="Arial"/>
        <w:b/>
        <w:sz w:val="48"/>
      </w:rPr>
    </w:pPr>
    <w:r w:rsidRPr="006004CE">
      <w:rPr>
        <w:rFonts w:ascii="Arial" w:hAnsi="Arial" w:cs="Arial"/>
        <w:b/>
        <w:sz w:val="48"/>
      </w:rPr>
      <w:t>HR</w:t>
    </w:r>
    <w:r w:rsidRPr="006004CE">
      <w:rPr>
        <w:rFonts w:ascii="Arial" w:hAnsi="Arial" w:cs="Arial"/>
        <w:b/>
        <w:sz w:val="48"/>
      </w:rPr>
      <w:tab/>
    </w:r>
    <w:r w:rsidRPr="006004CE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6004CE">
      <w:tab/>
    </w:r>
    <w:proofErr w:type="spellStart"/>
    <w:r w:rsidRPr="006004CE">
      <w:rPr>
        <w:rFonts w:ascii="Arial" w:hAnsi="Arial" w:cs="Arial"/>
        <w:b/>
        <w:sz w:val="48"/>
      </w:rPr>
      <w:t>HR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4CE" w:rsidRPr="006004CE" w:rsidRDefault="006004CE" w:rsidP="006004C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4CE" w:rsidRPr="006004CE" w:rsidRDefault="006004CE" w:rsidP="006004CE">
    <w:pPr>
      <w:pStyle w:val="Footer"/>
      <w:rPr>
        <w:rFonts w:ascii="Arial" w:hAnsi="Arial" w:cs="Arial"/>
        <w:b/>
        <w:sz w:val="48"/>
      </w:rPr>
    </w:pPr>
    <w:r w:rsidRPr="006004CE">
      <w:rPr>
        <w:rFonts w:ascii="Arial" w:hAnsi="Arial" w:cs="Arial"/>
        <w:b/>
        <w:sz w:val="48"/>
      </w:rPr>
      <w:t>HR</w:t>
    </w:r>
    <w:r w:rsidRPr="006004CE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fldSimple w:instr=" DOCVARIABLE &quot;LW_Confidence&quot; \* MERGEFORMAT ">
      <w:r>
        <w:t xml:space="preserve"> </w:t>
      </w:r>
    </w:fldSimple>
    <w:r w:rsidRPr="006004CE">
      <w:tab/>
    </w:r>
    <w:r w:rsidRPr="006004CE">
      <w:rPr>
        <w:rFonts w:ascii="Arial" w:hAnsi="Arial" w:cs="Arial"/>
        <w:b/>
        <w:sz w:val="48"/>
      </w:rPr>
      <w:t>HR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4CE" w:rsidRPr="006004CE" w:rsidRDefault="006004CE" w:rsidP="006004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3CB" w:rsidRDefault="006004CE">
      <w:pPr>
        <w:spacing w:before="0" w:after="0"/>
      </w:pPr>
      <w:r>
        <w:separator/>
      </w:r>
    </w:p>
  </w:footnote>
  <w:footnote w:type="continuationSeparator" w:id="0">
    <w:p w:rsidR="005D63CB" w:rsidRDefault="006004CE">
      <w:pPr>
        <w:spacing w:before="0" w:after="0"/>
      </w:pPr>
      <w:r>
        <w:continuationSeparator/>
      </w:r>
    </w:p>
  </w:footnote>
  <w:footnote w:id="1">
    <w:p w:rsidR="005D63CB" w:rsidRDefault="006004CE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  <w:t xml:space="preserve">SL L 209, 2.8.1997., </w:t>
      </w:r>
      <w:r>
        <w:t>str. 1.</w:t>
      </w:r>
    </w:p>
  </w:footnote>
  <w:footnote w:id="2">
    <w:p w:rsidR="005D63CB" w:rsidRDefault="006004CE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</w:r>
      <w:r>
        <w:t xml:space="preserve">COM(2017) 522 </w:t>
      </w:r>
      <w:proofErr w:type="spellStart"/>
      <w:r>
        <w:t>final</w:t>
      </w:r>
      <w:proofErr w:type="spellEnd"/>
      <w:r>
        <w:t>.</w:t>
      </w:r>
      <w:bookmarkStart w:id="0" w:name="_GoBack"/>
      <w:bookmarkEnd w:id="0"/>
    </w:p>
  </w:footnote>
  <w:footnote w:id="3">
    <w:p w:rsidR="005D63CB" w:rsidRDefault="006004CE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</w:r>
      <w:r>
        <w:t>P8_ TA(2017)0038, P8_ TA(2017)0039 i P8_ TA(2017)0040.</w:t>
      </w:r>
    </w:p>
  </w:footnote>
  <w:footnote w:id="4">
    <w:p w:rsidR="005D63CB" w:rsidRDefault="006004CE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</w:r>
      <w:r>
        <w:t xml:space="preserve">COM(2016) 725 </w:t>
      </w:r>
      <w:proofErr w:type="spellStart"/>
      <w:r>
        <w:t>final</w:t>
      </w:r>
      <w:proofErr w:type="spellEnd"/>
      <w:r>
        <w:t>.</w:t>
      </w:r>
    </w:p>
  </w:footnote>
  <w:footnote w:id="5">
    <w:p w:rsidR="005D63CB" w:rsidRDefault="006004CE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</w:r>
      <w:r>
        <w:t xml:space="preserve">COM(2016) 728 </w:t>
      </w:r>
      <w:proofErr w:type="spellStart"/>
      <w:r>
        <w:t>final</w:t>
      </w:r>
      <w:proofErr w:type="spellEnd"/>
      <w:r>
        <w:t>.</w:t>
      </w:r>
    </w:p>
  </w:footnote>
  <w:footnote w:id="6">
    <w:p w:rsidR="005D63CB" w:rsidRDefault="006004CE">
      <w:pPr>
        <w:pStyle w:val="FootnoteText"/>
      </w:pPr>
      <w:r>
        <w:rPr>
          <w:rStyle w:val="FootnoteReference"/>
        </w:rPr>
        <w:footnoteRef/>
      </w:r>
      <w:r>
        <w:tab/>
      </w:r>
      <w:r>
        <w:t xml:space="preserve">SWD(2017) 88 </w:t>
      </w:r>
      <w:proofErr w:type="spellStart"/>
      <w:r>
        <w:t>final</w:t>
      </w:r>
      <w:proofErr w:type="spellEnd"/>
      <w:r>
        <w:t>.</w:t>
      </w:r>
    </w:p>
  </w:footnote>
  <w:footnote w:id="7">
    <w:p w:rsidR="005D63CB" w:rsidRDefault="006004CE">
      <w:pPr>
        <w:pStyle w:val="FootnoteText"/>
      </w:pPr>
      <w:r>
        <w:rPr>
          <w:rStyle w:val="FootnoteReference"/>
        </w:rPr>
        <w:footnoteRef/>
      </w:r>
      <w:r>
        <w:tab/>
      </w:r>
      <w:r>
        <w:t>Članak 23. Uredbe (EU) br. 1303/2013 Europskog parlamenta i Vijeća od 17. prosinca 2013. o utvrđivanju z</w:t>
      </w:r>
      <w:r>
        <w:t>ajedničkih odredbi o Europskom fondu za regionalni razvoj, Europskom socijalnom fondu, Kohezijskom fondu, Europskom poljoprivrednom fondu za ruralni razvoj i Europskom fondu za pomorstvo i ribarstvo i o utvrđivanju općih odredbi o Europskom fondu za region</w:t>
      </w:r>
      <w:r>
        <w:t>alni razvoj, Europskom socijalnom fondu, Kohezijskom fondu i Europskom fondu za pomorstvo i ribarstvo te o stavljanju izvan snage Uredbe Vijeća (EZ) br. 1083/2006, SL L 347, 20.12.2013., str. 320.</w:t>
      </w:r>
    </w:p>
  </w:footnote>
  <w:footnote w:id="8">
    <w:p w:rsidR="005D63CB" w:rsidRPr="006004CE" w:rsidRDefault="006004CE">
      <w:pPr>
        <w:spacing w:before="0" w:after="0"/>
      </w:pPr>
      <w:r>
        <w:rPr>
          <w:rStyle w:val="FootnoteReference"/>
        </w:rPr>
        <w:footnoteRef/>
      </w:r>
      <w:r>
        <w:tab/>
      </w:r>
      <w:r>
        <w:rPr>
          <w:sz w:val="20"/>
        </w:rPr>
        <w:t xml:space="preserve">COM(2014) 494 </w:t>
      </w:r>
      <w:proofErr w:type="spellStart"/>
      <w:r>
        <w:rPr>
          <w:sz w:val="20"/>
        </w:rPr>
        <w:t>final</w:t>
      </w:r>
      <w:proofErr w:type="spellEnd"/>
      <w:r>
        <w:rPr>
          <w:sz w:val="20"/>
        </w:rPr>
        <w:t>.</w:t>
      </w:r>
    </w:p>
  </w:footnote>
  <w:footnote w:id="9">
    <w:p w:rsidR="005D63CB" w:rsidRDefault="006004CE">
      <w:pPr>
        <w:pStyle w:val="FootnoteText"/>
      </w:pPr>
      <w:r>
        <w:rPr>
          <w:rStyle w:val="FootnoteReference"/>
        </w:rPr>
        <w:footnoteRef/>
      </w:r>
      <w:r>
        <w:tab/>
      </w:r>
      <w:r>
        <w:t>Ciklički prilagođen saldo bez jedn</w:t>
      </w:r>
      <w:r>
        <w:t>okratnih i privremenih mjera koji je Komisija ponovno izračunala  koristeći se zajednički dogovorenom metodologijom</w:t>
      </w:r>
    </w:p>
  </w:footnote>
  <w:footnote w:id="10">
    <w:p w:rsidR="005D63CB" w:rsidRDefault="006004CE">
      <w:pPr>
        <w:pStyle w:val="FootnoteText"/>
      </w:pPr>
      <w:r>
        <w:rPr>
          <w:rStyle w:val="FootnoteReference"/>
        </w:rPr>
        <w:footnoteRef/>
      </w:r>
      <w:r>
        <w:tab/>
      </w:r>
      <w:r>
        <w:t>Neto državni rashodi sastoje se od ukupnih državnih rashoda bez rashoda za kamate, rashoda za programe Unije koji su u cijelosti usklađeni</w:t>
      </w:r>
      <w:r>
        <w:t xml:space="preserve"> s prihodima iz fondova Unije i </w:t>
      </w:r>
      <w:proofErr w:type="spellStart"/>
      <w:r>
        <w:t>nediskrecijskih</w:t>
      </w:r>
      <w:proofErr w:type="spellEnd"/>
      <w:r>
        <w:t xml:space="preserve"> promjena u rashodima za naknade za nezaposlenost. Nacionalno financirane bruto investicije u fiksni kapital izglađuju se za četverogodišnje razdoblje. Uračunane su diskrecijske mjere na prihodovnoj strani ili</w:t>
      </w:r>
      <w:r>
        <w:t xml:space="preserve"> povećanja prihoda propisana zakonom, dok su jednokratne mjere na prihodovnoj i rashodovnoj strani </w:t>
      </w:r>
      <w:proofErr w:type="spellStart"/>
      <w:r>
        <w:t>netirane</w:t>
      </w:r>
      <w:proofErr w:type="spellEnd"/>
      <w:r>
        <w:t>.</w:t>
      </w:r>
    </w:p>
  </w:footnote>
  <w:footnote w:id="11">
    <w:p w:rsidR="005D63CB" w:rsidRDefault="006004CE">
      <w:pPr>
        <w:pStyle w:val="FootnoteText"/>
      </w:pPr>
      <w:r>
        <w:rPr>
          <w:rStyle w:val="FootnoteReference"/>
        </w:rPr>
        <w:footnoteRef/>
      </w:r>
      <w:r>
        <w:tab/>
      </w:r>
      <w:r>
        <w:t>U skladu s člankom 9. stavkom 2. Uredbe Vijeća (EZ) br. 1466/97.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4CE" w:rsidRPr="006004CE" w:rsidRDefault="006004CE" w:rsidP="006004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4CE" w:rsidRPr="006004CE" w:rsidRDefault="006004CE" w:rsidP="006004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4CE" w:rsidRPr="006004CE" w:rsidRDefault="006004CE" w:rsidP="006004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9FEC3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A024F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D10064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F794B10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5DE2C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810C19F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AEE22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5A7A82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BANE DEMBLANS">
    <w15:presenceInfo w15:providerId="Windows Live" w15:userId="eb0a7c95d094d9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5-29 16:35:5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1"/>
    <w:docVar w:name="DQCStatus" w:val="Yellow"/>
    <w:docVar w:name="DQCVersion" w:val="3"/>
    <w:docVar w:name="DQCWithWarnings" w:val="0"/>
    <w:docVar w:name="LW_CONFIDENCE" w:val=" "/>
    <w:docVar w:name="LW_CONST_RESTREINT_UE" w:val="RESTREINT UE/EU RESTRICTED"/>
    <w:docVar w:name="LW_CORRIGENDUM" w:val="&lt;UNUSED&gt;"/>
    <w:docVar w:name="LW_COVERPAGE_GUID" w:val="3480398447B949CF8C66B53985A90973"/>
    <w:docVar w:name="LW_CROSSREFERENCE" w:val="&lt;UNUSED&gt;"/>
    <w:docVar w:name="LW_DocType" w:val="COM"/>
    <w:docVar w:name="LW_EMISSION" w:val="22.5.2017."/>
    <w:docVar w:name="LW_EMISSION_ISODATE" w:val="2017-05-22"/>
    <w:docVar w:name="LW_EMISSION_LOCATION" w:val="BRX"/>
    <w:docVar w:name="LW_EMISSION_PREFIX" w:val="Bruxelles, "/>
    <w:docVar w:name="LW_EMISSION_SUFFIX" w:val=" "/>
    <w:docVar w:name="LW_ID_DOCMODEL" w:val="SG-002"/>
    <w:docVar w:name="LW_ID_DOCSIGNATURE" w:val="SG-002"/>
    <w:docVar w:name="LW_ID_DOCSTRUCTURE" w:val="COM/PL/ORG"/>
    <w:docVar w:name="LW_ID_DOCTYPE" w:val="SG-002"/>
    <w:docVar w:name="LW_ID_STATUT" w:val="SG-002"/>
    <w:docVar w:name="LW_INTERETEEE.CP" w:val="&lt;UNUSED&gt;"/>
    <w:docVar w:name="LW_LANGUE" w:val="HR"/>
    <w:docVar w:name="LW_MARKING" w:val="&lt;UNUSED&gt;"/>
    <w:docVar w:name="LW_NOM.INST" w:val="EUROPSKA KOMISIJA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7"/>
    <w:docVar w:name="LW_REF.INST.NEW" w:val="COM"/>
    <w:docVar w:name="LW_REF.INST.NEW_ADOPTED" w:val="final"/>
    <w:docVar w:name="LW_REF.INST.NEW_TEXT" w:val="(2017) 522"/>
    <w:docVar w:name="LW_REF.INTERNE" w:val="&lt;UNUSED&gt;"/>
    <w:docVar w:name="LW_SOUS.TITRE.OBJ.CP" w:val="&lt;UNUSED&gt;"/>
    <w:docVar w:name="LW_STATUT.CP" w:val="Preporuka za"/>
    <w:docVar w:name="LW_SUPERTITRE" w:val="&lt;UNUSED&gt;"/>
    <w:docVar w:name="LW_TITRE.OBJ.CP" w:val="o Nacionalnom programu reformi Rumunjske za 2017._x000b__x000b_i dostavljanju mi\u353?ljenja Vije\u263?a o Programu konvergencije Rumunjske za 2017."/>
    <w:docVar w:name="LW_TYPE.DOC.CP" w:val="PREPORUKU VIJE\u262?A"/>
  </w:docVars>
  <w:rsids>
    <w:rsidRoot w:val="005D63CB"/>
    <w:rsid w:val="005D63CB"/>
    <w:rsid w:val="0060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hr-H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hr-H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  <w:jc w:val="left"/>
    </w:pPr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6004CE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6004CE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6004CE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hr-H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hr-H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  <w:jc w:val="left"/>
    </w:pPr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6004CE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6004CE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6004CE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6DFCA-78A2-4F4E-8A5C-647375029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10</Pages>
  <Words>3699</Words>
  <Characters>22570</Characters>
  <Application>Microsoft Office Word</Application>
  <DocSecurity>0</DocSecurity>
  <Lines>358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18</cp:revision>
  <dcterms:created xsi:type="dcterms:W3CDTF">2017-05-23T09:27:00Z</dcterms:created>
  <dcterms:modified xsi:type="dcterms:W3CDTF">2017-05-30T09:31:00Z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SG-002</vt:lpwstr>
  </property>
  <property fmtid="{D5CDD505-2E9C-101B-9397-08002B2CF9AE}" pid="10" name="DQCStatus">
    <vt:lpwstr>Yellow (DQC version 03)</vt:lpwstr>
  </property>
  <property name="OP_sanitized" fmtid="{D5CDD505-2E9C-101B-9397-08002B2CF9AE}" pid="11">
    <vt:lpwstr>True</vt:lpwstr>
  </property>
</Properties>
</file>