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9AF" w:rsidRPr="002C3C7A" w:rsidRDefault="007F29F2" w:rsidP="001E3869">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CFD990BBCC44A6FB5BD649632E94CE5" style="width:450.35pt;height:374.95pt">
            <v:imagedata r:id="rId9" o:title=""/>
          </v:shape>
        </w:pict>
      </w:r>
    </w:p>
    <w:bookmarkEnd w:id="0"/>
    <w:p w:rsidR="00252E84" w:rsidRDefault="00252E84" w:rsidP="00252E84">
      <w:pPr>
        <w:sectPr w:rsidR="00252E84" w:rsidSect="001E386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E729AF" w:rsidRPr="002C3C7A" w:rsidRDefault="00E729AF" w:rsidP="00991AC3">
      <w:pPr>
        <w:keepNext/>
        <w:numPr>
          <w:ilvl w:val="0"/>
          <w:numId w:val="1"/>
        </w:numPr>
        <w:spacing w:before="240" w:after="240" w:line="240" w:lineRule="auto"/>
        <w:ind w:left="851" w:hanging="851"/>
        <w:jc w:val="both"/>
        <w:outlineLvl w:val="0"/>
        <w:rPr>
          <w:rFonts w:ascii="Times New Roman" w:hAnsi="Times New Roman" w:cs="Times New Roman"/>
          <w:b/>
          <w:bCs/>
          <w:smallCaps/>
          <w:sz w:val="24"/>
          <w:szCs w:val="24"/>
        </w:rPr>
      </w:pPr>
      <w:r w:rsidRPr="002C3C7A">
        <w:rPr>
          <w:rFonts w:ascii="Times New Roman" w:hAnsi="Times New Roman" w:cs="Times New Roman"/>
          <w:b/>
          <w:bCs/>
          <w:smallCaps/>
          <w:sz w:val="24"/>
          <w:szCs w:val="24"/>
        </w:rPr>
        <w:lastRenderedPageBreak/>
        <w:t xml:space="preserve">Introduction </w:t>
      </w:r>
    </w:p>
    <w:p w:rsidR="00E729AF" w:rsidRPr="002C3C7A" w:rsidRDefault="00E729AF" w:rsidP="00991AC3">
      <w:pPr>
        <w:spacing w:after="240"/>
        <w:jc w:val="both"/>
        <w:rPr>
          <w:rFonts w:ascii="Times New Roman" w:hAnsi="Times New Roman" w:cs="Times New Roman"/>
          <w:sz w:val="24"/>
          <w:szCs w:val="24"/>
        </w:rPr>
      </w:pPr>
      <w:r w:rsidRPr="002C3C7A">
        <w:rPr>
          <w:rFonts w:ascii="Times New Roman" w:hAnsi="Times New Roman" w:cs="Times New Roman"/>
          <w:b/>
          <w:sz w:val="24"/>
          <w:szCs w:val="24"/>
        </w:rPr>
        <w:t xml:space="preserve">The European economy has proven resilient in </w:t>
      </w:r>
      <w:r w:rsidR="00E84C51">
        <w:rPr>
          <w:rFonts w:ascii="Times New Roman" w:hAnsi="Times New Roman" w:cs="Times New Roman"/>
          <w:b/>
          <w:sz w:val="24"/>
          <w:szCs w:val="24"/>
        </w:rPr>
        <w:t xml:space="preserve">the face of </w:t>
      </w:r>
      <w:r w:rsidRPr="002C3C7A">
        <w:rPr>
          <w:rFonts w:ascii="Times New Roman" w:hAnsi="Times New Roman" w:cs="Times New Roman"/>
          <w:b/>
          <w:sz w:val="24"/>
          <w:szCs w:val="24"/>
        </w:rPr>
        <w:t>significant challenges.</w:t>
      </w:r>
      <w:r w:rsidRPr="002C3C7A">
        <w:rPr>
          <w:rFonts w:ascii="Times New Roman" w:hAnsi="Times New Roman" w:cs="Times New Roman"/>
          <w:sz w:val="24"/>
          <w:szCs w:val="24"/>
        </w:rPr>
        <w:t xml:space="preserve"> In 2016, both the EU and euro area economies grew </w:t>
      </w:r>
      <w:r w:rsidR="000149C2">
        <w:rPr>
          <w:rFonts w:ascii="Times New Roman" w:hAnsi="Times New Roman" w:cs="Times New Roman"/>
          <w:sz w:val="24"/>
          <w:szCs w:val="24"/>
        </w:rPr>
        <w:t>by nearly 2%</w:t>
      </w:r>
      <w:r w:rsidRPr="002C3C7A">
        <w:rPr>
          <w:rFonts w:ascii="Times New Roman" w:hAnsi="Times New Roman" w:cs="Times New Roman"/>
          <w:sz w:val="24"/>
          <w:szCs w:val="24"/>
        </w:rPr>
        <w:t>. Employment in the EU reached 232.</w:t>
      </w:r>
      <w:r w:rsidR="00CA4133">
        <w:rPr>
          <w:rFonts w:ascii="Times New Roman" w:hAnsi="Times New Roman" w:cs="Times New Roman"/>
          <w:sz w:val="24"/>
          <w:szCs w:val="24"/>
        </w:rPr>
        <w:t>9</w:t>
      </w:r>
      <w:r w:rsidRPr="002C3C7A">
        <w:rPr>
          <w:rFonts w:ascii="Times New Roman" w:hAnsi="Times New Roman" w:cs="Times New Roman"/>
          <w:sz w:val="24"/>
          <w:szCs w:val="24"/>
        </w:rPr>
        <w:t xml:space="preserve"> million people, the highest number ever </w:t>
      </w:r>
      <w:r w:rsidR="00350073">
        <w:rPr>
          <w:rFonts w:ascii="Times New Roman" w:hAnsi="Times New Roman" w:cs="Times New Roman"/>
          <w:sz w:val="24"/>
          <w:szCs w:val="24"/>
        </w:rPr>
        <w:t>recorded</w:t>
      </w:r>
      <w:r w:rsidRPr="002C3C7A">
        <w:rPr>
          <w:rFonts w:ascii="Times New Roman" w:hAnsi="Times New Roman" w:cs="Times New Roman"/>
          <w:sz w:val="24"/>
          <w:szCs w:val="24"/>
        </w:rPr>
        <w:t xml:space="preserve">. </w:t>
      </w:r>
      <w:r w:rsidR="00E84C51">
        <w:rPr>
          <w:rFonts w:ascii="Times New Roman" w:hAnsi="Times New Roman" w:cs="Times New Roman"/>
          <w:sz w:val="24"/>
          <w:szCs w:val="24"/>
        </w:rPr>
        <w:t>T</w:t>
      </w:r>
      <w:r w:rsidRPr="002C3C7A">
        <w:rPr>
          <w:rFonts w:ascii="Times New Roman" w:hAnsi="Times New Roman" w:cs="Times New Roman"/>
          <w:sz w:val="24"/>
          <w:szCs w:val="24"/>
        </w:rPr>
        <w:t xml:space="preserve">he </w:t>
      </w:r>
      <w:r w:rsidR="00E84C51">
        <w:rPr>
          <w:rFonts w:ascii="Times New Roman" w:hAnsi="Times New Roman" w:cs="Times New Roman"/>
          <w:sz w:val="24"/>
          <w:szCs w:val="24"/>
        </w:rPr>
        <w:t xml:space="preserve">European </w:t>
      </w:r>
      <w:r w:rsidRPr="002C3C7A">
        <w:rPr>
          <w:rFonts w:ascii="Times New Roman" w:hAnsi="Times New Roman" w:cs="Times New Roman"/>
          <w:sz w:val="24"/>
          <w:szCs w:val="24"/>
        </w:rPr>
        <w:t>Commission</w:t>
      </w:r>
      <w:r w:rsidR="00E84C51">
        <w:rPr>
          <w:rFonts w:ascii="Times New Roman" w:hAnsi="Times New Roman" w:cs="Times New Roman"/>
          <w:sz w:val="24"/>
          <w:szCs w:val="24"/>
        </w:rPr>
        <w:t>’s</w:t>
      </w:r>
      <w:r w:rsidRPr="002C3C7A">
        <w:rPr>
          <w:rFonts w:ascii="Times New Roman" w:hAnsi="Times New Roman" w:cs="Times New Roman"/>
          <w:sz w:val="24"/>
          <w:szCs w:val="24"/>
        </w:rPr>
        <w:t xml:space="preserve"> spring</w:t>
      </w:r>
      <w:r w:rsidR="00B23A5B">
        <w:rPr>
          <w:rFonts w:ascii="Times New Roman" w:hAnsi="Times New Roman" w:cs="Times New Roman"/>
          <w:sz w:val="24"/>
          <w:szCs w:val="24"/>
        </w:rPr>
        <w:t xml:space="preserve"> 2017</w:t>
      </w:r>
      <w:r w:rsidRPr="002C3C7A">
        <w:rPr>
          <w:rFonts w:ascii="Times New Roman" w:hAnsi="Times New Roman" w:cs="Times New Roman"/>
          <w:sz w:val="24"/>
          <w:szCs w:val="24"/>
        </w:rPr>
        <w:t xml:space="preserve"> </w:t>
      </w:r>
      <w:r w:rsidR="00B23A5B">
        <w:rPr>
          <w:rFonts w:ascii="Times New Roman" w:hAnsi="Times New Roman" w:cs="Times New Roman"/>
          <w:sz w:val="24"/>
          <w:szCs w:val="24"/>
        </w:rPr>
        <w:t xml:space="preserve">economic </w:t>
      </w:r>
      <w:r w:rsidRPr="002C3C7A">
        <w:rPr>
          <w:rFonts w:ascii="Times New Roman" w:hAnsi="Times New Roman" w:cs="Times New Roman"/>
          <w:sz w:val="24"/>
          <w:szCs w:val="24"/>
        </w:rPr>
        <w:t>forecast</w:t>
      </w:r>
      <w:r w:rsidR="001342DD">
        <w:rPr>
          <w:rStyle w:val="FootnoteReference"/>
          <w:rFonts w:ascii="Times New Roman" w:hAnsi="Times New Roman" w:cs="Times New Roman"/>
          <w:sz w:val="24"/>
          <w:szCs w:val="24"/>
        </w:rPr>
        <w:footnoteReference w:id="1"/>
      </w:r>
      <w:r w:rsidR="00E84C51">
        <w:rPr>
          <w:rFonts w:ascii="Times New Roman" w:hAnsi="Times New Roman" w:cs="Times New Roman"/>
          <w:sz w:val="24"/>
          <w:szCs w:val="24"/>
        </w:rPr>
        <w:t xml:space="preserve"> shows that</w:t>
      </w:r>
      <w:r w:rsidRPr="002C3C7A">
        <w:rPr>
          <w:rFonts w:ascii="Times New Roman" w:hAnsi="Times New Roman" w:cs="Times New Roman"/>
          <w:sz w:val="24"/>
          <w:szCs w:val="24"/>
        </w:rPr>
        <w:t xml:space="preserve"> public finances continue to improve</w:t>
      </w:r>
      <w:r w:rsidR="00E84C51">
        <w:rPr>
          <w:rFonts w:ascii="Times New Roman" w:hAnsi="Times New Roman" w:cs="Times New Roman"/>
          <w:sz w:val="24"/>
          <w:szCs w:val="24"/>
        </w:rPr>
        <w:t>:</w:t>
      </w:r>
      <w:r w:rsidRPr="002C3C7A">
        <w:rPr>
          <w:rFonts w:ascii="Times New Roman" w:hAnsi="Times New Roman" w:cs="Times New Roman"/>
          <w:sz w:val="24"/>
          <w:szCs w:val="24"/>
        </w:rPr>
        <w:t xml:space="preserve"> </w:t>
      </w:r>
      <w:r w:rsidR="00E84C51">
        <w:rPr>
          <w:rFonts w:ascii="Times New Roman" w:hAnsi="Times New Roman" w:cs="Times New Roman"/>
          <w:sz w:val="24"/>
          <w:szCs w:val="24"/>
        </w:rPr>
        <w:t xml:space="preserve">the </w:t>
      </w:r>
      <w:r w:rsidRPr="002C3C7A">
        <w:rPr>
          <w:rFonts w:ascii="Times New Roman" w:hAnsi="Times New Roman" w:cs="Times New Roman"/>
          <w:sz w:val="24"/>
          <w:szCs w:val="24"/>
        </w:rPr>
        <w:t>general government deficit in the euro area</w:t>
      </w:r>
      <w:r w:rsidR="001342DD">
        <w:rPr>
          <w:rFonts w:ascii="Times New Roman" w:hAnsi="Times New Roman" w:cs="Times New Roman"/>
          <w:sz w:val="24"/>
          <w:szCs w:val="24"/>
        </w:rPr>
        <w:t xml:space="preserve">, which </w:t>
      </w:r>
      <w:r w:rsidR="00B23A5B">
        <w:rPr>
          <w:rFonts w:ascii="Times New Roman" w:hAnsi="Times New Roman" w:cs="Times New Roman"/>
          <w:sz w:val="24"/>
          <w:szCs w:val="24"/>
        </w:rPr>
        <w:t>was</w:t>
      </w:r>
      <w:r w:rsidR="001342DD">
        <w:rPr>
          <w:rFonts w:ascii="Times New Roman" w:hAnsi="Times New Roman" w:cs="Times New Roman"/>
          <w:sz w:val="24"/>
          <w:szCs w:val="24"/>
        </w:rPr>
        <w:t xml:space="preserve"> above 6% a few years ago,</w:t>
      </w:r>
      <w:r w:rsidRPr="002C3C7A">
        <w:rPr>
          <w:rFonts w:ascii="Times New Roman" w:hAnsi="Times New Roman" w:cs="Times New Roman"/>
          <w:sz w:val="24"/>
          <w:szCs w:val="24"/>
        </w:rPr>
        <w:t xml:space="preserve"> </w:t>
      </w:r>
      <w:r w:rsidR="00E84C51">
        <w:rPr>
          <w:rFonts w:ascii="Times New Roman" w:hAnsi="Times New Roman" w:cs="Times New Roman"/>
          <w:sz w:val="24"/>
          <w:szCs w:val="24"/>
        </w:rPr>
        <w:t xml:space="preserve">is </w:t>
      </w:r>
      <w:r w:rsidRPr="002C3C7A">
        <w:rPr>
          <w:rFonts w:ascii="Times New Roman" w:hAnsi="Times New Roman" w:cs="Times New Roman"/>
          <w:sz w:val="24"/>
          <w:szCs w:val="24"/>
        </w:rPr>
        <w:t xml:space="preserve">expected to </w:t>
      </w:r>
      <w:r w:rsidRPr="00AE2023">
        <w:rPr>
          <w:rFonts w:ascii="Times New Roman" w:hAnsi="Times New Roman" w:cs="Times New Roman"/>
          <w:sz w:val="24"/>
          <w:szCs w:val="24"/>
        </w:rPr>
        <w:t>be 1.4%</w:t>
      </w:r>
      <w:r w:rsidRPr="002C3C7A">
        <w:rPr>
          <w:rFonts w:ascii="Times New Roman" w:hAnsi="Times New Roman" w:cs="Times New Roman"/>
          <w:sz w:val="24"/>
          <w:szCs w:val="24"/>
        </w:rPr>
        <w:t xml:space="preserve"> this year</w:t>
      </w:r>
      <w:r w:rsidR="001342DD">
        <w:rPr>
          <w:rFonts w:ascii="Times New Roman" w:hAnsi="Times New Roman" w:cs="Times New Roman"/>
          <w:sz w:val="24"/>
          <w:szCs w:val="24"/>
        </w:rPr>
        <w:t>,</w:t>
      </w:r>
      <w:r w:rsidRPr="002C3C7A">
        <w:rPr>
          <w:rFonts w:ascii="Times New Roman" w:hAnsi="Times New Roman" w:cs="Times New Roman"/>
          <w:sz w:val="24"/>
          <w:szCs w:val="24"/>
        </w:rPr>
        <w:t xml:space="preserve"> and the debt-to-GDP ratio</w:t>
      </w:r>
      <w:r w:rsidR="001342DD">
        <w:rPr>
          <w:rFonts w:ascii="Times New Roman" w:hAnsi="Times New Roman" w:cs="Times New Roman"/>
          <w:sz w:val="24"/>
          <w:szCs w:val="24"/>
        </w:rPr>
        <w:t>, after years of sharp increase,</w:t>
      </w:r>
      <w:r w:rsidRPr="002C3C7A">
        <w:rPr>
          <w:rFonts w:ascii="Times New Roman" w:hAnsi="Times New Roman" w:cs="Times New Roman"/>
          <w:sz w:val="24"/>
          <w:szCs w:val="24"/>
        </w:rPr>
        <w:t xml:space="preserve"> </w:t>
      </w:r>
      <w:r w:rsidR="00E84C51">
        <w:rPr>
          <w:rFonts w:ascii="Times New Roman" w:hAnsi="Times New Roman" w:cs="Times New Roman"/>
          <w:sz w:val="24"/>
          <w:szCs w:val="24"/>
        </w:rPr>
        <w:t xml:space="preserve">is </w:t>
      </w:r>
      <w:r w:rsidR="00350073">
        <w:rPr>
          <w:rFonts w:ascii="Times New Roman" w:hAnsi="Times New Roman" w:cs="Times New Roman"/>
          <w:sz w:val="24"/>
          <w:szCs w:val="24"/>
        </w:rPr>
        <w:t xml:space="preserve">expected </w:t>
      </w:r>
      <w:r w:rsidRPr="002C3C7A">
        <w:rPr>
          <w:rFonts w:ascii="Times New Roman" w:hAnsi="Times New Roman" w:cs="Times New Roman"/>
          <w:sz w:val="24"/>
          <w:szCs w:val="24"/>
        </w:rPr>
        <w:t>to</w:t>
      </w:r>
      <w:r w:rsidR="001342DD">
        <w:rPr>
          <w:rFonts w:ascii="Times New Roman" w:hAnsi="Times New Roman" w:cs="Times New Roman"/>
          <w:sz w:val="24"/>
          <w:szCs w:val="24"/>
        </w:rPr>
        <w:t xml:space="preserve"> decrease slowly to</w:t>
      </w:r>
      <w:r w:rsidRPr="002C3C7A">
        <w:rPr>
          <w:rFonts w:ascii="Times New Roman" w:hAnsi="Times New Roman" w:cs="Times New Roman"/>
          <w:sz w:val="24"/>
          <w:szCs w:val="24"/>
        </w:rPr>
        <w:t xml:space="preserve"> go just below </w:t>
      </w:r>
      <w:r w:rsidRPr="00AE2023">
        <w:rPr>
          <w:rFonts w:ascii="Times New Roman" w:hAnsi="Times New Roman" w:cs="Times New Roman"/>
          <w:sz w:val="24"/>
          <w:szCs w:val="24"/>
        </w:rPr>
        <w:t>90%</w:t>
      </w:r>
      <w:r w:rsidRPr="002C3C7A">
        <w:rPr>
          <w:rFonts w:ascii="Times New Roman" w:hAnsi="Times New Roman" w:cs="Times New Roman"/>
          <w:sz w:val="24"/>
          <w:szCs w:val="24"/>
        </w:rPr>
        <w:t xml:space="preserve"> next year. </w:t>
      </w:r>
      <w:r w:rsidR="001342DD">
        <w:rPr>
          <w:rFonts w:ascii="Times New Roman" w:hAnsi="Times New Roman" w:cs="Times New Roman"/>
          <w:sz w:val="24"/>
          <w:szCs w:val="24"/>
        </w:rPr>
        <w:t>Economic g</w:t>
      </w:r>
      <w:r w:rsidRPr="002C3C7A">
        <w:rPr>
          <w:rFonts w:ascii="Times New Roman" w:hAnsi="Times New Roman" w:cs="Times New Roman"/>
          <w:sz w:val="24"/>
          <w:szCs w:val="24"/>
        </w:rPr>
        <w:t xml:space="preserve">rowth is benefitting from the resilience of domestic drivers, supportive economic policies, including accommodative monetary policy and non-restrictive fiscal policies, a gradual improvement in world trade and the euro’s relatively favourable exchange rate. </w:t>
      </w:r>
      <w:r w:rsidR="001342DD">
        <w:rPr>
          <w:rFonts w:ascii="Times New Roman" w:hAnsi="Times New Roman" w:cs="Times New Roman"/>
          <w:sz w:val="24"/>
          <w:szCs w:val="24"/>
        </w:rPr>
        <w:t>H</w:t>
      </w:r>
      <w:r w:rsidRPr="002C3C7A">
        <w:rPr>
          <w:rFonts w:ascii="Times New Roman" w:hAnsi="Times New Roman" w:cs="Times New Roman"/>
          <w:sz w:val="24"/>
          <w:szCs w:val="24"/>
        </w:rPr>
        <w:t xml:space="preserve">owever, </w:t>
      </w:r>
      <w:r w:rsidR="001342DD">
        <w:rPr>
          <w:rFonts w:ascii="Times New Roman" w:hAnsi="Times New Roman" w:cs="Times New Roman"/>
          <w:sz w:val="24"/>
          <w:szCs w:val="24"/>
        </w:rPr>
        <w:t xml:space="preserve">economic developments remain </w:t>
      </w:r>
      <w:r w:rsidRPr="002C3C7A">
        <w:rPr>
          <w:rFonts w:ascii="Times New Roman" w:hAnsi="Times New Roman" w:cs="Times New Roman"/>
          <w:sz w:val="24"/>
          <w:szCs w:val="24"/>
        </w:rPr>
        <w:t>burdened by</w:t>
      </w:r>
      <w:r w:rsidR="000149C2">
        <w:rPr>
          <w:rFonts w:ascii="Times New Roman" w:hAnsi="Times New Roman" w:cs="Times New Roman"/>
          <w:sz w:val="24"/>
          <w:szCs w:val="24"/>
        </w:rPr>
        <w:t xml:space="preserve"> </w:t>
      </w:r>
      <w:r w:rsidR="00B23A5B">
        <w:rPr>
          <w:rFonts w:ascii="Times New Roman" w:hAnsi="Times New Roman" w:cs="Times New Roman"/>
          <w:sz w:val="24"/>
          <w:szCs w:val="24"/>
        </w:rPr>
        <w:t>weak</w:t>
      </w:r>
      <w:r w:rsidR="000149C2">
        <w:rPr>
          <w:rFonts w:ascii="Times New Roman" w:hAnsi="Times New Roman" w:cs="Times New Roman"/>
          <w:sz w:val="24"/>
          <w:szCs w:val="24"/>
        </w:rPr>
        <w:t xml:space="preserve"> underlying productivity and by</w:t>
      </w:r>
      <w:r w:rsidRPr="002C3C7A">
        <w:rPr>
          <w:rFonts w:ascii="Times New Roman" w:hAnsi="Times New Roman" w:cs="Times New Roman"/>
          <w:sz w:val="24"/>
          <w:szCs w:val="24"/>
        </w:rPr>
        <w:t xml:space="preserve"> the legacies of the crisis</w:t>
      </w:r>
      <w:r w:rsidR="001B67CF">
        <w:rPr>
          <w:rFonts w:ascii="Times New Roman" w:hAnsi="Times New Roman" w:cs="Times New Roman"/>
          <w:sz w:val="24"/>
          <w:szCs w:val="24"/>
        </w:rPr>
        <w:t xml:space="preserve">, </w:t>
      </w:r>
      <w:r w:rsidR="000149C2">
        <w:rPr>
          <w:rFonts w:ascii="Times New Roman" w:hAnsi="Times New Roman" w:cs="Times New Roman"/>
          <w:sz w:val="24"/>
          <w:szCs w:val="24"/>
        </w:rPr>
        <w:t xml:space="preserve">including </w:t>
      </w:r>
      <w:r w:rsidR="001B67CF">
        <w:rPr>
          <w:rFonts w:ascii="Times New Roman" w:hAnsi="Times New Roman" w:cs="Times New Roman"/>
          <w:sz w:val="24"/>
          <w:szCs w:val="24"/>
        </w:rPr>
        <w:t xml:space="preserve">persistent inequalities </w:t>
      </w:r>
      <w:r w:rsidR="000149C2">
        <w:rPr>
          <w:rFonts w:ascii="Times New Roman" w:hAnsi="Times New Roman" w:cs="Times New Roman"/>
          <w:sz w:val="24"/>
          <w:szCs w:val="24"/>
        </w:rPr>
        <w:t xml:space="preserve">and </w:t>
      </w:r>
      <w:r w:rsidR="001B67CF">
        <w:rPr>
          <w:rFonts w:ascii="Times New Roman" w:hAnsi="Times New Roman" w:cs="Times New Roman"/>
          <w:sz w:val="24"/>
          <w:szCs w:val="24"/>
        </w:rPr>
        <w:t xml:space="preserve">disparities </w:t>
      </w:r>
      <w:r w:rsidR="000149C2">
        <w:rPr>
          <w:rFonts w:ascii="Times New Roman" w:hAnsi="Times New Roman" w:cs="Times New Roman"/>
          <w:sz w:val="24"/>
          <w:szCs w:val="24"/>
        </w:rPr>
        <w:t>across countries. U</w:t>
      </w:r>
      <w:r w:rsidRPr="002C3C7A">
        <w:rPr>
          <w:rFonts w:ascii="Times New Roman" w:hAnsi="Times New Roman" w:cs="Times New Roman"/>
          <w:sz w:val="24"/>
          <w:szCs w:val="24"/>
        </w:rPr>
        <w:t>ncertainty stemming mostly from external factors</w:t>
      </w:r>
      <w:r w:rsidR="000149C2">
        <w:rPr>
          <w:rFonts w:ascii="Times New Roman" w:hAnsi="Times New Roman" w:cs="Times New Roman"/>
          <w:sz w:val="24"/>
          <w:szCs w:val="24"/>
        </w:rPr>
        <w:t xml:space="preserve"> remains high</w:t>
      </w:r>
      <w:r w:rsidR="001342DD">
        <w:rPr>
          <w:rFonts w:ascii="Times New Roman" w:hAnsi="Times New Roman" w:cs="Times New Roman"/>
          <w:sz w:val="24"/>
          <w:szCs w:val="24"/>
        </w:rPr>
        <w:t xml:space="preserve"> and potential growth needs to be </w:t>
      </w:r>
      <w:r w:rsidR="000C651B">
        <w:rPr>
          <w:rFonts w:ascii="Times New Roman" w:hAnsi="Times New Roman" w:cs="Times New Roman"/>
          <w:sz w:val="24"/>
          <w:szCs w:val="24"/>
        </w:rPr>
        <w:t>boosted</w:t>
      </w:r>
      <w:r w:rsidRPr="002C3C7A">
        <w:rPr>
          <w:rFonts w:ascii="Times New Roman" w:hAnsi="Times New Roman" w:cs="Times New Roman"/>
          <w:sz w:val="24"/>
          <w:szCs w:val="24"/>
        </w:rPr>
        <w:t xml:space="preserve">. </w:t>
      </w:r>
    </w:p>
    <w:p w:rsidR="00E729AF" w:rsidRPr="002C3C7A" w:rsidRDefault="00E729AF" w:rsidP="00991AC3">
      <w:pPr>
        <w:spacing w:before="120" w:after="240"/>
        <w:jc w:val="both"/>
        <w:rPr>
          <w:rFonts w:ascii="Times New Roman" w:eastAsia="Calibri" w:hAnsi="Times New Roman" w:cs="Times New Roman"/>
          <w:sz w:val="24"/>
          <w:szCs w:val="24"/>
        </w:rPr>
      </w:pPr>
      <w:r w:rsidRPr="002C3C7A">
        <w:rPr>
          <w:rFonts w:ascii="Times New Roman" w:eastAsia="Calibri" w:hAnsi="Times New Roman" w:cs="Times New Roman"/>
          <w:b/>
          <w:sz w:val="24"/>
          <w:szCs w:val="24"/>
        </w:rPr>
        <w:t xml:space="preserve">To </w:t>
      </w:r>
      <w:r w:rsidR="003E02B3">
        <w:rPr>
          <w:rFonts w:ascii="Times New Roman" w:eastAsia="Calibri" w:hAnsi="Times New Roman" w:cs="Times New Roman"/>
          <w:b/>
          <w:sz w:val="24"/>
          <w:szCs w:val="24"/>
        </w:rPr>
        <w:t>strengthen</w:t>
      </w:r>
      <w:r w:rsidR="003E02B3" w:rsidRPr="002C3C7A">
        <w:rPr>
          <w:rFonts w:ascii="Times New Roman" w:eastAsia="Calibri" w:hAnsi="Times New Roman" w:cs="Times New Roman"/>
          <w:b/>
          <w:sz w:val="24"/>
          <w:szCs w:val="24"/>
        </w:rPr>
        <w:t xml:space="preserve"> </w:t>
      </w:r>
      <w:r w:rsidRPr="002C3C7A">
        <w:rPr>
          <w:rFonts w:ascii="Times New Roman" w:eastAsia="Calibri" w:hAnsi="Times New Roman" w:cs="Times New Roman"/>
          <w:b/>
          <w:sz w:val="24"/>
          <w:szCs w:val="24"/>
        </w:rPr>
        <w:t>the positive trends and convergence</w:t>
      </w:r>
      <w:r w:rsidR="001342DD">
        <w:rPr>
          <w:rFonts w:ascii="Times New Roman" w:eastAsia="Calibri" w:hAnsi="Times New Roman" w:cs="Times New Roman"/>
          <w:b/>
          <w:sz w:val="24"/>
          <w:szCs w:val="24"/>
        </w:rPr>
        <w:t xml:space="preserve"> within the EU</w:t>
      </w:r>
      <w:r w:rsidRPr="002C3C7A">
        <w:rPr>
          <w:rFonts w:ascii="Times New Roman" w:eastAsia="Calibri" w:hAnsi="Times New Roman" w:cs="Times New Roman"/>
          <w:b/>
          <w:sz w:val="24"/>
          <w:szCs w:val="24"/>
        </w:rPr>
        <w:t>, economies need to be more competitive, resilient</w:t>
      </w:r>
      <w:r w:rsidR="000149C2">
        <w:rPr>
          <w:rFonts w:ascii="Times New Roman" w:eastAsia="Calibri" w:hAnsi="Times New Roman" w:cs="Times New Roman"/>
          <w:b/>
          <w:sz w:val="24"/>
          <w:szCs w:val="24"/>
        </w:rPr>
        <w:t>, inclusive</w:t>
      </w:r>
      <w:r w:rsidRPr="002C3C7A">
        <w:rPr>
          <w:rFonts w:ascii="Times New Roman" w:eastAsia="Calibri" w:hAnsi="Times New Roman" w:cs="Times New Roman"/>
          <w:b/>
          <w:sz w:val="24"/>
          <w:szCs w:val="24"/>
        </w:rPr>
        <w:t xml:space="preserve"> and innovative. </w:t>
      </w:r>
      <w:r w:rsidRPr="002C3C7A">
        <w:rPr>
          <w:rFonts w:ascii="Times New Roman" w:hAnsi="Times New Roman" w:cs="Times New Roman"/>
          <w:sz w:val="24"/>
          <w:szCs w:val="24"/>
        </w:rPr>
        <w:t xml:space="preserve">This is the objective of the </w:t>
      </w:r>
      <w:r w:rsidR="001342DD" w:rsidRPr="002C3C7A">
        <w:rPr>
          <w:rFonts w:ascii="Times New Roman" w:hAnsi="Times New Roman" w:cs="Times New Roman"/>
          <w:sz w:val="24"/>
          <w:szCs w:val="24"/>
        </w:rPr>
        <w:t>recommend</w:t>
      </w:r>
      <w:r w:rsidR="001342DD">
        <w:rPr>
          <w:rFonts w:ascii="Times New Roman" w:hAnsi="Times New Roman" w:cs="Times New Roman"/>
          <w:sz w:val="24"/>
          <w:szCs w:val="24"/>
        </w:rPr>
        <w:t>ations made</w:t>
      </w:r>
      <w:r w:rsidR="001342DD" w:rsidRPr="002C3C7A">
        <w:rPr>
          <w:rFonts w:ascii="Times New Roman" w:hAnsi="Times New Roman" w:cs="Times New Roman"/>
          <w:sz w:val="24"/>
          <w:szCs w:val="24"/>
        </w:rPr>
        <w:t xml:space="preserve"> </w:t>
      </w:r>
      <w:r w:rsidRPr="002C3C7A">
        <w:rPr>
          <w:rFonts w:ascii="Times New Roman" w:hAnsi="Times New Roman" w:cs="Times New Roman"/>
          <w:sz w:val="24"/>
          <w:szCs w:val="24"/>
        </w:rPr>
        <w:t>under the European Semester</w:t>
      </w:r>
      <w:r w:rsidR="001342DD">
        <w:rPr>
          <w:rFonts w:ascii="Times New Roman" w:hAnsi="Times New Roman" w:cs="Times New Roman"/>
          <w:sz w:val="24"/>
          <w:szCs w:val="24"/>
        </w:rPr>
        <w:t xml:space="preserve"> of economic policy coordination</w:t>
      </w:r>
      <w:r w:rsidRPr="002C3C7A">
        <w:rPr>
          <w:rFonts w:ascii="Times New Roman" w:hAnsi="Times New Roman" w:cs="Times New Roman"/>
          <w:sz w:val="24"/>
          <w:szCs w:val="24"/>
        </w:rPr>
        <w:t xml:space="preserve">. </w:t>
      </w:r>
      <w:r w:rsidR="001342DD">
        <w:rPr>
          <w:rFonts w:ascii="Times New Roman" w:hAnsi="Times New Roman" w:cs="Times New Roman"/>
          <w:sz w:val="24"/>
          <w:szCs w:val="24"/>
        </w:rPr>
        <w:t>R</w:t>
      </w:r>
      <w:r w:rsidRPr="002C3C7A">
        <w:rPr>
          <w:rFonts w:ascii="Times New Roman" w:hAnsi="Times New Roman" w:cs="Times New Roman"/>
          <w:sz w:val="24"/>
          <w:szCs w:val="24"/>
        </w:rPr>
        <w:t xml:space="preserve">eforms </w:t>
      </w:r>
      <w:r w:rsidR="001342DD">
        <w:rPr>
          <w:rFonts w:ascii="Times New Roman" w:hAnsi="Times New Roman" w:cs="Times New Roman"/>
          <w:sz w:val="24"/>
          <w:szCs w:val="24"/>
        </w:rPr>
        <w:t xml:space="preserve">are made easier in a supportive environment and they are </w:t>
      </w:r>
      <w:r w:rsidR="000B1D30">
        <w:rPr>
          <w:rFonts w:ascii="Times New Roman" w:hAnsi="Times New Roman" w:cs="Times New Roman"/>
          <w:sz w:val="24"/>
          <w:szCs w:val="24"/>
        </w:rPr>
        <w:t xml:space="preserve">very </w:t>
      </w:r>
      <w:r w:rsidR="001342DD">
        <w:rPr>
          <w:rFonts w:ascii="Times New Roman" w:hAnsi="Times New Roman" w:cs="Times New Roman"/>
          <w:sz w:val="24"/>
          <w:szCs w:val="24"/>
        </w:rPr>
        <w:t xml:space="preserve">necessary to </w:t>
      </w:r>
      <w:r w:rsidRPr="002C3C7A">
        <w:rPr>
          <w:rFonts w:ascii="Times New Roman" w:hAnsi="Times New Roman" w:cs="Times New Roman"/>
          <w:sz w:val="24"/>
          <w:szCs w:val="24"/>
        </w:rPr>
        <w:t>sustain the current positive economic and social trends</w:t>
      </w:r>
      <w:r w:rsidR="001342DD">
        <w:rPr>
          <w:rFonts w:ascii="Times New Roman" w:hAnsi="Times New Roman" w:cs="Times New Roman"/>
          <w:sz w:val="24"/>
          <w:szCs w:val="24"/>
        </w:rPr>
        <w:t>, as well as to</w:t>
      </w:r>
      <w:r w:rsidRPr="002C3C7A">
        <w:rPr>
          <w:rFonts w:ascii="Times New Roman" w:hAnsi="Times New Roman" w:cs="Times New Roman"/>
          <w:sz w:val="24"/>
          <w:szCs w:val="24"/>
        </w:rPr>
        <w:t xml:space="preserve"> support the modernisation of our economies</w:t>
      </w:r>
      <w:r w:rsidR="003E02B3">
        <w:rPr>
          <w:rFonts w:ascii="Times New Roman" w:hAnsi="Times New Roman" w:cs="Times New Roman"/>
          <w:sz w:val="24"/>
          <w:szCs w:val="24"/>
        </w:rPr>
        <w:t>.</w:t>
      </w:r>
      <w:r w:rsidRPr="002C3C7A">
        <w:rPr>
          <w:rFonts w:ascii="Times New Roman" w:hAnsi="Times New Roman" w:cs="Times New Roman"/>
          <w:sz w:val="24"/>
          <w:szCs w:val="24"/>
        </w:rPr>
        <w:t xml:space="preserve"> </w:t>
      </w:r>
      <w:r w:rsidR="000149C2">
        <w:rPr>
          <w:rFonts w:ascii="Times New Roman" w:hAnsi="Times New Roman" w:cs="Times New Roman"/>
          <w:sz w:val="24"/>
          <w:szCs w:val="24"/>
        </w:rPr>
        <w:t>W</w:t>
      </w:r>
      <w:r w:rsidR="000149C2" w:rsidRPr="002C3C7A">
        <w:rPr>
          <w:rFonts w:ascii="Times New Roman" w:hAnsi="Times New Roman" w:cs="Times New Roman"/>
          <w:sz w:val="24"/>
          <w:szCs w:val="24"/>
        </w:rPr>
        <w:t>ell-designed</w:t>
      </w:r>
      <w:r w:rsidR="000149C2">
        <w:rPr>
          <w:rFonts w:ascii="Times New Roman" w:hAnsi="Times New Roman" w:cs="Times New Roman"/>
          <w:sz w:val="24"/>
          <w:szCs w:val="24"/>
        </w:rPr>
        <w:t xml:space="preserve"> and </w:t>
      </w:r>
      <w:r w:rsidR="000149C2" w:rsidRPr="002C3C7A">
        <w:rPr>
          <w:rFonts w:ascii="Times New Roman" w:hAnsi="Times New Roman" w:cs="Times New Roman"/>
          <w:sz w:val="24"/>
          <w:szCs w:val="24"/>
        </w:rPr>
        <w:t xml:space="preserve">appropriately sequenced </w:t>
      </w:r>
      <w:r w:rsidR="000149C2">
        <w:rPr>
          <w:rFonts w:ascii="Times New Roman" w:hAnsi="Times New Roman" w:cs="Times New Roman"/>
          <w:sz w:val="24"/>
          <w:szCs w:val="24"/>
        </w:rPr>
        <w:t xml:space="preserve">reforms, which also </w:t>
      </w:r>
      <w:r w:rsidR="000149C2" w:rsidRPr="002C3C7A">
        <w:rPr>
          <w:rFonts w:ascii="Times New Roman" w:hAnsi="Times New Roman" w:cs="Times New Roman"/>
          <w:sz w:val="24"/>
          <w:szCs w:val="24"/>
        </w:rPr>
        <w:t>take into account distributional impacts,</w:t>
      </w:r>
      <w:r w:rsidR="000149C2">
        <w:rPr>
          <w:rFonts w:ascii="Times New Roman" w:hAnsi="Times New Roman" w:cs="Times New Roman"/>
          <w:sz w:val="24"/>
          <w:szCs w:val="24"/>
        </w:rPr>
        <w:t xml:space="preserve"> </w:t>
      </w:r>
      <w:r w:rsidR="001342DD">
        <w:rPr>
          <w:rFonts w:ascii="Times New Roman" w:hAnsi="Times New Roman" w:cs="Times New Roman"/>
          <w:sz w:val="24"/>
          <w:szCs w:val="24"/>
        </w:rPr>
        <w:t xml:space="preserve">should </w:t>
      </w:r>
      <w:r w:rsidR="000C651B">
        <w:rPr>
          <w:rFonts w:ascii="Times New Roman" w:hAnsi="Times New Roman" w:cs="Times New Roman"/>
          <w:sz w:val="24"/>
          <w:szCs w:val="24"/>
        </w:rPr>
        <w:t xml:space="preserve">serve to </w:t>
      </w:r>
      <w:r w:rsidRPr="002C3C7A">
        <w:rPr>
          <w:rFonts w:ascii="Times New Roman" w:hAnsi="Times New Roman" w:cs="Times New Roman"/>
          <w:sz w:val="24"/>
          <w:szCs w:val="24"/>
        </w:rPr>
        <w:t>empower EU citizens</w:t>
      </w:r>
      <w:r w:rsidR="001342DD">
        <w:rPr>
          <w:rFonts w:ascii="Times New Roman" w:hAnsi="Times New Roman" w:cs="Times New Roman"/>
          <w:sz w:val="24"/>
          <w:szCs w:val="24"/>
        </w:rPr>
        <w:t xml:space="preserve"> and business</w:t>
      </w:r>
      <w:r w:rsidRPr="002C3C7A">
        <w:rPr>
          <w:rFonts w:ascii="Times New Roman" w:hAnsi="Times New Roman" w:cs="Times New Roman"/>
          <w:sz w:val="24"/>
          <w:szCs w:val="24"/>
        </w:rPr>
        <w:t xml:space="preserve"> to contribute to and benefit from growth, foster convergence and minimise any adverse effects of change.</w:t>
      </w:r>
      <w:r w:rsidRPr="002C3C7A">
        <w:rPr>
          <w:rFonts w:ascii="Times New Roman" w:eastAsia="Calibri" w:hAnsi="Times New Roman" w:cs="Times New Roman"/>
          <w:sz w:val="24"/>
          <w:szCs w:val="24"/>
        </w:rPr>
        <w:t xml:space="preserve"> </w:t>
      </w:r>
      <w:r w:rsidR="003E02B3">
        <w:rPr>
          <w:rFonts w:ascii="Times New Roman" w:eastAsia="Calibri" w:hAnsi="Times New Roman" w:cs="Times New Roman"/>
          <w:sz w:val="24"/>
          <w:szCs w:val="24"/>
        </w:rPr>
        <w:t>I</w:t>
      </w:r>
      <w:r w:rsidRPr="002C3C7A">
        <w:rPr>
          <w:rFonts w:ascii="Times New Roman" w:eastAsia="Calibri" w:hAnsi="Times New Roman" w:cs="Times New Roman"/>
          <w:sz w:val="24"/>
          <w:szCs w:val="24"/>
        </w:rPr>
        <w:t>mplement</w:t>
      </w:r>
      <w:r w:rsidR="003E02B3">
        <w:rPr>
          <w:rFonts w:ascii="Times New Roman" w:eastAsia="Calibri" w:hAnsi="Times New Roman" w:cs="Times New Roman"/>
          <w:sz w:val="24"/>
          <w:szCs w:val="24"/>
        </w:rPr>
        <w:t>ing</w:t>
      </w:r>
      <w:r w:rsidRPr="002C3C7A">
        <w:rPr>
          <w:rFonts w:ascii="Times New Roman" w:eastAsia="Calibri" w:hAnsi="Times New Roman" w:cs="Times New Roman"/>
          <w:sz w:val="24"/>
          <w:szCs w:val="24"/>
        </w:rPr>
        <w:t xml:space="preserve"> these reforms will also </w:t>
      </w:r>
      <w:r w:rsidR="003E02B3">
        <w:rPr>
          <w:rFonts w:ascii="Times New Roman" w:eastAsia="Calibri" w:hAnsi="Times New Roman" w:cs="Times New Roman"/>
          <w:sz w:val="24"/>
          <w:szCs w:val="24"/>
        </w:rPr>
        <w:t xml:space="preserve">help to </w:t>
      </w:r>
      <w:r w:rsidRPr="002C3C7A">
        <w:rPr>
          <w:rFonts w:ascii="Times New Roman" w:eastAsia="Calibri" w:hAnsi="Times New Roman" w:cs="Times New Roman"/>
          <w:sz w:val="24"/>
          <w:szCs w:val="24"/>
        </w:rPr>
        <w:t>increas</w:t>
      </w:r>
      <w:r w:rsidR="003E02B3">
        <w:rPr>
          <w:rFonts w:ascii="Times New Roman" w:eastAsia="Calibri" w:hAnsi="Times New Roman" w:cs="Times New Roman"/>
          <w:sz w:val="24"/>
          <w:szCs w:val="24"/>
        </w:rPr>
        <w:t>e</w:t>
      </w:r>
      <w:r w:rsidRPr="002C3C7A">
        <w:rPr>
          <w:rFonts w:ascii="Times New Roman" w:eastAsia="Calibri" w:hAnsi="Times New Roman" w:cs="Times New Roman"/>
          <w:sz w:val="24"/>
          <w:szCs w:val="24"/>
        </w:rPr>
        <w:t xml:space="preserve"> convergence within the </w:t>
      </w:r>
      <w:r w:rsidR="00B65BF7">
        <w:rPr>
          <w:rFonts w:ascii="Times New Roman" w:eastAsia="Calibri" w:hAnsi="Times New Roman" w:cs="Times New Roman"/>
          <w:sz w:val="24"/>
          <w:szCs w:val="24"/>
        </w:rPr>
        <w:t xml:space="preserve">EU and the </w:t>
      </w:r>
      <w:r w:rsidRPr="002C3C7A">
        <w:rPr>
          <w:rFonts w:ascii="Times New Roman" w:eastAsia="Calibri" w:hAnsi="Times New Roman" w:cs="Times New Roman"/>
          <w:sz w:val="24"/>
          <w:szCs w:val="24"/>
        </w:rPr>
        <w:t>euro area</w:t>
      </w:r>
      <w:r w:rsidR="009D6226">
        <w:rPr>
          <w:rFonts w:ascii="Times New Roman" w:eastAsia="Calibri" w:hAnsi="Times New Roman" w:cs="Times New Roman"/>
          <w:sz w:val="24"/>
          <w:szCs w:val="24"/>
        </w:rPr>
        <w:t xml:space="preserve">, also by </w:t>
      </w:r>
      <w:r w:rsidR="003E02B3">
        <w:rPr>
          <w:rFonts w:ascii="Times New Roman" w:eastAsia="Calibri" w:hAnsi="Times New Roman" w:cs="Times New Roman"/>
          <w:sz w:val="24"/>
          <w:szCs w:val="24"/>
        </w:rPr>
        <w:t>strengthen</w:t>
      </w:r>
      <w:r w:rsidR="009D6226">
        <w:rPr>
          <w:rFonts w:ascii="Times New Roman" w:eastAsia="Calibri" w:hAnsi="Times New Roman" w:cs="Times New Roman"/>
          <w:sz w:val="24"/>
          <w:szCs w:val="24"/>
        </w:rPr>
        <w:t>ing</w:t>
      </w:r>
      <w:r w:rsidR="003E02B3">
        <w:rPr>
          <w:rFonts w:ascii="Times New Roman" w:eastAsia="Calibri" w:hAnsi="Times New Roman" w:cs="Times New Roman"/>
          <w:sz w:val="24"/>
          <w:szCs w:val="24"/>
        </w:rPr>
        <w:t xml:space="preserve"> their resilience</w:t>
      </w:r>
      <w:r w:rsidRPr="002C3C7A">
        <w:rPr>
          <w:rFonts w:ascii="Times New Roman" w:eastAsia="Calibri" w:hAnsi="Times New Roman" w:cs="Times New Roman"/>
          <w:sz w:val="24"/>
          <w:szCs w:val="24"/>
        </w:rPr>
        <w:t>.</w:t>
      </w:r>
    </w:p>
    <w:p w:rsidR="00E729AF" w:rsidRPr="002C3C7A" w:rsidRDefault="000149C2" w:rsidP="00991AC3">
      <w:pPr>
        <w:spacing w:before="120" w:after="240"/>
        <w:jc w:val="both"/>
        <w:rPr>
          <w:rFonts w:ascii="Times New Roman" w:hAnsi="Times New Roman" w:cs="Times New Roman"/>
          <w:sz w:val="24"/>
          <w:szCs w:val="24"/>
        </w:rPr>
      </w:pPr>
      <w:r>
        <w:rPr>
          <w:rFonts w:ascii="Times New Roman" w:eastAsia="Calibri" w:hAnsi="Times New Roman" w:cs="Times New Roman"/>
          <w:b/>
          <w:sz w:val="24"/>
          <w:szCs w:val="24"/>
        </w:rPr>
        <w:t>R</w:t>
      </w:r>
      <w:r w:rsidR="00E729AF" w:rsidRPr="002C3C7A">
        <w:rPr>
          <w:rFonts w:ascii="Times New Roman" w:hAnsi="Times New Roman" w:cs="Times New Roman"/>
          <w:b/>
          <w:sz w:val="24"/>
          <w:szCs w:val="24"/>
        </w:rPr>
        <w:t xml:space="preserve">eforms </w:t>
      </w:r>
      <w:r>
        <w:rPr>
          <w:rFonts w:ascii="Times New Roman" w:hAnsi="Times New Roman" w:cs="Times New Roman"/>
          <w:b/>
          <w:sz w:val="24"/>
          <w:szCs w:val="24"/>
        </w:rPr>
        <w:t xml:space="preserve">need to </w:t>
      </w:r>
      <w:r w:rsidR="00E729AF" w:rsidRPr="002C3C7A">
        <w:rPr>
          <w:rFonts w:ascii="Times New Roman" w:hAnsi="Times New Roman" w:cs="Times New Roman"/>
          <w:b/>
          <w:sz w:val="24"/>
          <w:szCs w:val="24"/>
        </w:rPr>
        <w:t xml:space="preserve">take due account of the </w:t>
      </w:r>
      <w:r>
        <w:rPr>
          <w:rFonts w:ascii="Times New Roman" w:hAnsi="Times New Roman" w:cs="Times New Roman"/>
          <w:b/>
          <w:sz w:val="24"/>
          <w:szCs w:val="24"/>
        </w:rPr>
        <w:t xml:space="preserve">specific </w:t>
      </w:r>
      <w:r w:rsidR="00E729AF" w:rsidRPr="002C3C7A">
        <w:rPr>
          <w:rFonts w:ascii="Times New Roman" w:hAnsi="Times New Roman" w:cs="Times New Roman"/>
          <w:b/>
          <w:sz w:val="24"/>
          <w:szCs w:val="24"/>
        </w:rPr>
        <w:t>socio-economic situation and challenges in each Member State.</w:t>
      </w:r>
      <w:r w:rsidR="00E729AF" w:rsidRPr="002C3C7A">
        <w:rPr>
          <w:rFonts w:ascii="Times New Roman" w:hAnsi="Times New Roman" w:cs="Times New Roman"/>
          <w:sz w:val="24"/>
          <w:szCs w:val="24"/>
        </w:rPr>
        <w:t xml:space="preserve"> </w:t>
      </w:r>
      <w:r w:rsidR="003E02B3">
        <w:rPr>
          <w:rFonts w:ascii="Times New Roman" w:hAnsi="Times New Roman" w:cs="Times New Roman"/>
          <w:sz w:val="24"/>
          <w:szCs w:val="24"/>
        </w:rPr>
        <w:t>S</w:t>
      </w:r>
      <w:r w:rsidR="00E729AF" w:rsidRPr="002C3C7A">
        <w:rPr>
          <w:rFonts w:ascii="Times New Roman" w:hAnsi="Times New Roman" w:cs="Times New Roman"/>
          <w:sz w:val="24"/>
          <w:szCs w:val="24"/>
        </w:rPr>
        <w:t>ignificant labour market reforms have been adopted</w:t>
      </w:r>
      <w:r w:rsidR="003E02B3">
        <w:rPr>
          <w:rFonts w:ascii="Times New Roman" w:hAnsi="Times New Roman" w:cs="Times New Roman"/>
          <w:sz w:val="24"/>
          <w:szCs w:val="24"/>
        </w:rPr>
        <w:t xml:space="preserve"> </w:t>
      </w:r>
      <w:r w:rsidR="00B23A5B">
        <w:rPr>
          <w:rFonts w:ascii="Times New Roman" w:hAnsi="Times New Roman" w:cs="Times New Roman"/>
          <w:sz w:val="24"/>
          <w:szCs w:val="24"/>
        </w:rPr>
        <w:t>since</w:t>
      </w:r>
      <w:r w:rsidR="005B3250" w:rsidRPr="00394A28">
        <w:rPr>
          <w:rFonts w:ascii="Times New Roman" w:hAnsi="Times New Roman" w:cs="Times New Roman"/>
          <w:sz w:val="24"/>
          <w:szCs w:val="24"/>
        </w:rPr>
        <w:t xml:space="preserve"> 2010</w:t>
      </w:r>
      <w:r w:rsidR="00E729AF" w:rsidRPr="002C3C7A">
        <w:rPr>
          <w:rFonts w:ascii="Times New Roman" w:hAnsi="Times New Roman" w:cs="Times New Roman"/>
          <w:sz w:val="24"/>
          <w:szCs w:val="24"/>
        </w:rPr>
        <w:t>, notably in some of the countries hardest</w:t>
      </w:r>
      <w:r w:rsidR="003E02B3">
        <w:rPr>
          <w:rFonts w:ascii="Times New Roman" w:hAnsi="Times New Roman" w:cs="Times New Roman"/>
          <w:sz w:val="24"/>
          <w:szCs w:val="24"/>
        </w:rPr>
        <w:t>-</w:t>
      </w:r>
      <w:r w:rsidR="00E729AF" w:rsidRPr="002C3C7A">
        <w:rPr>
          <w:rFonts w:ascii="Times New Roman" w:hAnsi="Times New Roman" w:cs="Times New Roman"/>
          <w:sz w:val="24"/>
          <w:szCs w:val="24"/>
        </w:rPr>
        <w:t>hit by the crisis. The</w:t>
      </w:r>
      <w:r w:rsidR="00421EBC">
        <w:rPr>
          <w:rFonts w:ascii="Times New Roman" w:hAnsi="Times New Roman" w:cs="Times New Roman"/>
          <w:sz w:val="24"/>
          <w:szCs w:val="24"/>
        </w:rPr>
        <w:t>se reforms have</w:t>
      </w:r>
      <w:r w:rsidR="00E729AF" w:rsidRPr="002C3C7A">
        <w:rPr>
          <w:rFonts w:ascii="Times New Roman" w:hAnsi="Times New Roman" w:cs="Times New Roman"/>
          <w:sz w:val="24"/>
          <w:szCs w:val="24"/>
        </w:rPr>
        <w:t xml:space="preserve"> helped to increase the adjustment capacity of their economies, restore competitiveness and increase employment. </w:t>
      </w:r>
      <w:r w:rsidR="00421EBC">
        <w:rPr>
          <w:rFonts w:ascii="Times New Roman" w:hAnsi="Times New Roman" w:cs="Times New Roman"/>
          <w:sz w:val="24"/>
          <w:szCs w:val="24"/>
        </w:rPr>
        <w:t>Other r</w:t>
      </w:r>
      <w:r w:rsidR="00E729AF" w:rsidRPr="002C3C7A">
        <w:rPr>
          <w:rFonts w:ascii="Times New Roman" w:hAnsi="Times New Roman" w:cs="Times New Roman"/>
          <w:sz w:val="24"/>
          <w:szCs w:val="24"/>
        </w:rPr>
        <w:t xml:space="preserve">eforms have </w:t>
      </w:r>
      <w:r w:rsidR="00421EBC">
        <w:rPr>
          <w:rFonts w:ascii="Times New Roman" w:hAnsi="Times New Roman" w:cs="Times New Roman"/>
          <w:sz w:val="24"/>
          <w:szCs w:val="24"/>
        </w:rPr>
        <w:t xml:space="preserve">sought to improve the business environment and the way </w:t>
      </w:r>
      <w:r w:rsidR="00E729AF" w:rsidRPr="002C3C7A">
        <w:rPr>
          <w:rFonts w:ascii="Times New Roman" w:hAnsi="Times New Roman" w:cs="Times New Roman"/>
          <w:sz w:val="24"/>
          <w:szCs w:val="24"/>
        </w:rPr>
        <w:t xml:space="preserve">financial and product markets </w:t>
      </w:r>
      <w:r w:rsidR="00421EBC">
        <w:rPr>
          <w:rFonts w:ascii="Times New Roman" w:hAnsi="Times New Roman" w:cs="Times New Roman"/>
          <w:sz w:val="24"/>
          <w:szCs w:val="24"/>
        </w:rPr>
        <w:t>function</w:t>
      </w:r>
      <w:r w:rsidR="00E729AF" w:rsidRPr="00AE2023">
        <w:rPr>
          <w:rFonts w:ascii="Times New Roman" w:hAnsi="Times New Roman" w:cs="Times New Roman"/>
          <w:sz w:val="24"/>
          <w:szCs w:val="24"/>
        </w:rPr>
        <w:t xml:space="preserve">. </w:t>
      </w:r>
      <w:r w:rsidR="003A792A" w:rsidRPr="00AE2023">
        <w:rPr>
          <w:rFonts w:ascii="Times New Roman" w:hAnsi="Times New Roman" w:cs="Times New Roman"/>
          <w:sz w:val="24"/>
          <w:szCs w:val="24"/>
        </w:rPr>
        <w:t>Recently</w:t>
      </w:r>
      <w:r w:rsidR="00350073" w:rsidRPr="00AE2023">
        <w:rPr>
          <w:rFonts w:ascii="Times New Roman" w:hAnsi="Times New Roman" w:cs="Times New Roman"/>
          <w:sz w:val="24"/>
          <w:szCs w:val="24"/>
        </w:rPr>
        <w:t>,</w:t>
      </w:r>
      <w:r w:rsidR="003A792A" w:rsidRPr="00AE2023">
        <w:rPr>
          <w:rFonts w:ascii="Times New Roman" w:hAnsi="Times New Roman" w:cs="Times New Roman"/>
          <w:sz w:val="24"/>
          <w:szCs w:val="24"/>
        </w:rPr>
        <w:t xml:space="preserve"> attention </w:t>
      </w:r>
      <w:r w:rsidR="00350073" w:rsidRPr="00AE2023">
        <w:rPr>
          <w:rFonts w:ascii="Times New Roman" w:hAnsi="Times New Roman" w:cs="Times New Roman"/>
          <w:sz w:val="24"/>
          <w:szCs w:val="24"/>
        </w:rPr>
        <w:t>has</w:t>
      </w:r>
      <w:r w:rsidR="003A792A" w:rsidRPr="00AE2023">
        <w:rPr>
          <w:rFonts w:ascii="Times New Roman" w:hAnsi="Times New Roman" w:cs="Times New Roman"/>
          <w:sz w:val="24"/>
          <w:szCs w:val="24"/>
        </w:rPr>
        <w:t xml:space="preserve"> </w:t>
      </w:r>
      <w:r w:rsidR="00350073" w:rsidRPr="00AE2023">
        <w:rPr>
          <w:rFonts w:ascii="Times New Roman" w:hAnsi="Times New Roman" w:cs="Times New Roman"/>
          <w:sz w:val="24"/>
          <w:szCs w:val="24"/>
        </w:rPr>
        <w:t>been</w:t>
      </w:r>
      <w:r w:rsidR="003A792A" w:rsidRPr="00AE2023">
        <w:rPr>
          <w:rFonts w:ascii="Times New Roman" w:hAnsi="Times New Roman" w:cs="Times New Roman"/>
          <w:sz w:val="24"/>
          <w:szCs w:val="24"/>
        </w:rPr>
        <w:t xml:space="preserve"> increasingly paid to </w:t>
      </w:r>
      <w:r w:rsidR="001342DD" w:rsidRPr="00AE2023">
        <w:rPr>
          <w:rFonts w:ascii="Times New Roman" w:hAnsi="Times New Roman" w:cs="Times New Roman"/>
          <w:sz w:val="24"/>
          <w:szCs w:val="24"/>
        </w:rPr>
        <w:t xml:space="preserve">shifting </w:t>
      </w:r>
      <w:r w:rsidR="003A792A" w:rsidRPr="00AE2023">
        <w:rPr>
          <w:rFonts w:ascii="Times New Roman" w:hAnsi="Times New Roman" w:cs="Times New Roman"/>
          <w:sz w:val="24"/>
          <w:szCs w:val="24"/>
        </w:rPr>
        <w:t>taxation</w:t>
      </w:r>
      <w:r w:rsidR="001342DD" w:rsidRPr="00AE2023">
        <w:rPr>
          <w:rFonts w:ascii="Times New Roman" w:hAnsi="Times New Roman" w:cs="Times New Roman"/>
          <w:sz w:val="24"/>
          <w:szCs w:val="24"/>
        </w:rPr>
        <w:t xml:space="preserve"> away from labour</w:t>
      </w:r>
      <w:r w:rsidR="00B23A5B">
        <w:rPr>
          <w:rFonts w:ascii="Times New Roman" w:hAnsi="Times New Roman" w:cs="Times New Roman"/>
          <w:sz w:val="24"/>
          <w:szCs w:val="24"/>
        </w:rPr>
        <w:t xml:space="preserve"> and</w:t>
      </w:r>
      <w:r w:rsidR="001342DD" w:rsidRPr="00AE2023">
        <w:rPr>
          <w:rFonts w:ascii="Times New Roman" w:hAnsi="Times New Roman" w:cs="Times New Roman"/>
          <w:sz w:val="24"/>
          <w:szCs w:val="24"/>
        </w:rPr>
        <w:t xml:space="preserve"> to modernis</w:t>
      </w:r>
      <w:r w:rsidR="00B23A5B">
        <w:rPr>
          <w:rFonts w:ascii="Times New Roman" w:hAnsi="Times New Roman" w:cs="Times New Roman"/>
          <w:sz w:val="24"/>
          <w:szCs w:val="24"/>
        </w:rPr>
        <w:t>ing</w:t>
      </w:r>
      <w:r w:rsidR="003A792A" w:rsidRPr="00AE2023">
        <w:rPr>
          <w:rFonts w:ascii="Times New Roman" w:hAnsi="Times New Roman" w:cs="Times New Roman"/>
          <w:sz w:val="24"/>
          <w:szCs w:val="24"/>
        </w:rPr>
        <w:t xml:space="preserve"> social policies and labour market</w:t>
      </w:r>
      <w:r w:rsidR="000B1D30">
        <w:rPr>
          <w:rFonts w:ascii="Times New Roman" w:hAnsi="Times New Roman" w:cs="Times New Roman"/>
          <w:sz w:val="24"/>
          <w:szCs w:val="24"/>
        </w:rPr>
        <w:t xml:space="preserve"> parameters</w:t>
      </w:r>
      <w:r w:rsidR="001342DD" w:rsidRPr="00AE2023">
        <w:rPr>
          <w:rFonts w:ascii="Times New Roman" w:hAnsi="Times New Roman" w:cs="Times New Roman"/>
          <w:sz w:val="24"/>
          <w:szCs w:val="24"/>
        </w:rPr>
        <w:t xml:space="preserve"> to improve their functioning</w:t>
      </w:r>
      <w:r w:rsidR="003A792A" w:rsidRPr="00AE2023">
        <w:rPr>
          <w:rFonts w:ascii="Times New Roman" w:hAnsi="Times New Roman" w:cs="Times New Roman"/>
          <w:sz w:val="24"/>
          <w:szCs w:val="24"/>
        </w:rPr>
        <w:t xml:space="preserve"> and </w:t>
      </w:r>
      <w:r w:rsidR="001342DD" w:rsidRPr="00AE2023">
        <w:rPr>
          <w:rFonts w:ascii="Times New Roman" w:hAnsi="Times New Roman" w:cs="Times New Roman"/>
          <w:sz w:val="24"/>
          <w:szCs w:val="24"/>
        </w:rPr>
        <w:t xml:space="preserve">deliver </w:t>
      </w:r>
      <w:r w:rsidR="003A792A" w:rsidRPr="00AE2023">
        <w:rPr>
          <w:rFonts w:ascii="Times New Roman" w:hAnsi="Times New Roman" w:cs="Times New Roman"/>
          <w:sz w:val="24"/>
          <w:szCs w:val="24"/>
        </w:rPr>
        <w:t>a fair distribution of the benefits of growth across society.</w:t>
      </w:r>
      <w:r w:rsidR="003A792A" w:rsidRPr="002C3C7A">
        <w:rPr>
          <w:rFonts w:ascii="Times New Roman" w:hAnsi="Times New Roman" w:cs="Times New Roman"/>
          <w:sz w:val="24"/>
          <w:szCs w:val="24"/>
        </w:rPr>
        <w:t xml:space="preserve"> </w:t>
      </w:r>
      <w:r w:rsidR="00421EBC">
        <w:rPr>
          <w:rFonts w:ascii="Times New Roman" w:hAnsi="Times New Roman" w:cs="Times New Roman"/>
          <w:sz w:val="24"/>
          <w:szCs w:val="24"/>
        </w:rPr>
        <w:t>However, f</w:t>
      </w:r>
      <w:r w:rsidR="00E729AF" w:rsidRPr="002C3C7A">
        <w:rPr>
          <w:rFonts w:ascii="Times New Roman" w:hAnsi="Times New Roman" w:cs="Times New Roman"/>
          <w:sz w:val="24"/>
          <w:szCs w:val="24"/>
        </w:rPr>
        <w:t xml:space="preserve">urther efforts have to be made, in particular in </w:t>
      </w:r>
      <w:r w:rsidR="00421EBC">
        <w:rPr>
          <w:rFonts w:ascii="Times New Roman" w:hAnsi="Times New Roman" w:cs="Times New Roman"/>
          <w:sz w:val="24"/>
          <w:szCs w:val="24"/>
        </w:rPr>
        <w:t xml:space="preserve">reforming </w:t>
      </w:r>
      <w:r w:rsidR="00E729AF" w:rsidRPr="002C3C7A">
        <w:rPr>
          <w:rFonts w:ascii="Times New Roman" w:hAnsi="Times New Roman" w:cs="Times New Roman"/>
          <w:sz w:val="24"/>
          <w:szCs w:val="24"/>
        </w:rPr>
        <w:t xml:space="preserve">product and </w:t>
      </w:r>
      <w:r w:rsidR="00E729AF" w:rsidRPr="002C3C7A">
        <w:rPr>
          <w:rFonts w:ascii="Times New Roman" w:hAnsi="Times New Roman" w:cs="Times New Roman"/>
          <w:sz w:val="24"/>
          <w:szCs w:val="24"/>
        </w:rPr>
        <w:lastRenderedPageBreak/>
        <w:t>services market</w:t>
      </w:r>
      <w:r w:rsidR="00350073">
        <w:rPr>
          <w:rFonts w:ascii="Times New Roman" w:hAnsi="Times New Roman" w:cs="Times New Roman"/>
          <w:sz w:val="24"/>
          <w:szCs w:val="24"/>
        </w:rPr>
        <w:t>s</w:t>
      </w:r>
      <w:r w:rsidR="00E729AF" w:rsidRPr="002C3C7A">
        <w:rPr>
          <w:rFonts w:ascii="Times New Roman" w:hAnsi="Times New Roman" w:cs="Times New Roman"/>
          <w:sz w:val="24"/>
          <w:szCs w:val="24"/>
        </w:rPr>
        <w:t xml:space="preserve"> and </w:t>
      </w:r>
      <w:r w:rsidR="001342DD">
        <w:rPr>
          <w:rFonts w:ascii="Times New Roman" w:hAnsi="Times New Roman" w:cs="Times New Roman"/>
          <w:sz w:val="24"/>
          <w:szCs w:val="24"/>
        </w:rPr>
        <w:t xml:space="preserve">in modernising </w:t>
      </w:r>
      <w:r w:rsidR="00E729AF" w:rsidRPr="002C3C7A">
        <w:rPr>
          <w:rFonts w:ascii="Times New Roman" w:hAnsi="Times New Roman" w:cs="Times New Roman"/>
          <w:sz w:val="24"/>
          <w:szCs w:val="24"/>
        </w:rPr>
        <w:t xml:space="preserve">public administration, which are important areas </w:t>
      </w:r>
      <w:r w:rsidR="00421EBC">
        <w:rPr>
          <w:rFonts w:ascii="Times New Roman" w:hAnsi="Times New Roman" w:cs="Times New Roman"/>
          <w:sz w:val="24"/>
          <w:szCs w:val="24"/>
        </w:rPr>
        <w:t xml:space="preserve">for </w:t>
      </w:r>
      <w:r w:rsidR="00E729AF" w:rsidRPr="002C3C7A">
        <w:rPr>
          <w:rFonts w:ascii="Times New Roman" w:hAnsi="Times New Roman" w:cs="Times New Roman"/>
          <w:sz w:val="24"/>
          <w:szCs w:val="24"/>
        </w:rPr>
        <w:t>facilita</w:t>
      </w:r>
      <w:r w:rsidR="00421EBC">
        <w:rPr>
          <w:rFonts w:ascii="Times New Roman" w:hAnsi="Times New Roman" w:cs="Times New Roman"/>
          <w:sz w:val="24"/>
          <w:szCs w:val="24"/>
        </w:rPr>
        <w:t>ting</w:t>
      </w:r>
      <w:r w:rsidR="00E729AF" w:rsidRPr="002C3C7A">
        <w:rPr>
          <w:rFonts w:ascii="Times New Roman" w:hAnsi="Times New Roman" w:cs="Times New Roman"/>
          <w:sz w:val="24"/>
          <w:szCs w:val="24"/>
        </w:rPr>
        <w:t xml:space="preserve"> investment</w:t>
      </w:r>
      <w:r w:rsidR="00B65BF7">
        <w:rPr>
          <w:rFonts w:ascii="Times New Roman" w:hAnsi="Times New Roman" w:cs="Times New Roman"/>
          <w:sz w:val="24"/>
          <w:szCs w:val="24"/>
        </w:rPr>
        <w:t xml:space="preserve"> and </w:t>
      </w:r>
      <w:r w:rsidR="00421EBC">
        <w:rPr>
          <w:rFonts w:ascii="Times New Roman" w:hAnsi="Times New Roman" w:cs="Times New Roman"/>
          <w:sz w:val="24"/>
          <w:szCs w:val="24"/>
        </w:rPr>
        <w:t xml:space="preserve">for </w:t>
      </w:r>
      <w:r w:rsidR="00B23A5B">
        <w:rPr>
          <w:rFonts w:ascii="Times New Roman" w:hAnsi="Times New Roman" w:cs="Times New Roman"/>
          <w:sz w:val="24"/>
          <w:szCs w:val="24"/>
        </w:rPr>
        <w:t xml:space="preserve">increased </w:t>
      </w:r>
      <w:r w:rsidR="00B65BF7">
        <w:rPr>
          <w:rFonts w:ascii="Times New Roman" w:hAnsi="Times New Roman" w:cs="Times New Roman"/>
          <w:sz w:val="24"/>
          <w:szCs w:val="24"/>
        </w:rPr>
        <w:t>trade integration and competitiveness</w:t>
      </w:r>
      <w:r w:rsidR="00E729AF" w:rsidRPr="002C3C7A">
        <w:rPr>
          <w:rFonts w:ascii="Times New Roman" w:hAnsi="Times New Roman" w:cs="Times New Roman"/>
          <w:sz w:val="24"/>
          <w:szCs w:val="24"/>
        </w:rPr>
        <w:t xml:space="preserve">. </w:t>
      </w:r>
    </w:p>
    <w:p w:rsidR="00E729AF" w:rsidRPr="002C3C7A" w:rsidRDefault="00E729AF" w:rsidP="00991AC3">
      <w:pPr>
        <w:jc w:val="both"/>
        <w:rPr>
          <w:rFonts w:ascii="Times New Roman" w:hAnsi="Times New Roman" w:cs="Times New Roman"/>
          <w:sz w:val="24"/>
          <w:szCs w:val="24"/>
        </w:rPr>
      </w:pPr>
      <w:r w:rsidRPr="002C3C7A">
        <w:rPr>
          <w:rFonts w:ascii="Times New Roman" w:hAnsi="Times New Roman" w:cs="Times New Roman"/>
          <w:b/>
          <w:sz w:val="24"/>
          <w:szCs w:val="24"/>
        </w:rPr>
        <w:t xml:space="preserve">The reforms also need to ensure the longer term sustainability of the economic recovery and improve resilience to future </w:t>
      </w:r>
      <w:r w:rsidR="003A792A" w:rsidRPr="002C3C7A">
        <w:rPr>
          <w:rFonts w:ascii="Times New Roman" w:hAnsi="Times New Roman" w:cs="Times New Roman"/>
          <w:b/>
          <w:sz w:val="24"/>
          <w:szCs w:val="24"/>
        </w:rPr>
        <w:t xml:space="preserve">economic and </w:t>
      </w:r>
      <w:r w:rsidRPr="002C3C7A">
        <w:rPr>
          <w:rFonts w:ascii="Times New Roman" w:hAnsi="Times New Roman" w:cs="Times New Roman"/>
          <w:b/>
          <w:sz w:val="24"/>
          <w:szCs w:val="24"/>
        </w:rPr>
        <w:t>societal challenges.</w:t>
      </w:r>
      <w:r w:rsidRPr="002C3C7A">
        <w:rPr>
          <w:rFonts w:ascii="Times New Roman" w:hAnsi="Times New Roman" w:cs="Times New Roman"/>
          <w:sz w:val="24"/>
          <w:szCs w:val="24"/>
        </w:rPr>
        <w:t xml:space="preserve"> This requires more focus on reforms </w:t>
      </w:r>
      <w:r w:rsidR="003842C8">
        <w:rPr>
          <w:rFonts w:ascii="Times New Roman" w:hAnsi="Times New Roman" w:cs="Times New Roman"/>
          <w:sz w:val="24"/>
          <w:szCs w:val="24"/>
        </w:rPr>
        <w:t xml:space="preserve">that </w:t>
      </w:r>
      <w:r w:rsidRPr="002C3C7A">
        <w:rPr>
          <w:rFonts w:ascii="Times New Roman" w:hAnsi="Times New Roman" w:cs="Times New Roman"/>
          <w:sz w:val="24"/>
          <w:szCs w:val="24"/>
        </w:rPr>
        <w:t>facilitat</w:t>
      </w:r>
      <w:r w:rsidR="003842C8">
        <w:rPr>
          <w:rFonts w:ascii="Times New Roman" w:hAnsi="Times New Roman" w:cs="Times New Roman"/>
          <w:sz w:val="24"/>
          <w:szCs w:val="24"/>
        </w:rPr>
        <w:t>e</w:t>
      </w:r>
      <w:r w:rsidRPr="002C3C7A">
        <w:rPr>
          <w:rFonts w:ascii="Times New Roman" w:hAnsi="Times New Roman" w:cs="Times New Roman"/>
          <w:sz w:val="24"/>
          <w:szCs w:val="24"/>
        </w:rPr>
        <w:t xml:space="preserve"> investment in social infrastructure</w:t>
      </w:r>
      <w:r w:rsidR="003842C8">
        <w:rPr>
          <w:rFonts w:ascii="Times New Roman" w:hAnsi="Times New Roman" w:cs="Times New Roman"/>
          <w:sz w:val="24"/>
          <w:szCs w:val="24"/>
        </w:rPr>
        <w:t xml:space="preserve">, </w:t>
      </w:r>
      <w:r w:rsidRPr="002C3C7A">
        <w:rPr>
          <w:rFonts w:ascii="Times New Roman" w:hAnsi="Times New Roman" w:cs="Times New Roman"/>
          <w:sz w:val="24"/>
          <w:szCs w:val="24"/>
        </w:rPr>
        <w:t xml:space="preserve">education, early childhood education and care </w:t>
      </w:r>
      <w:r w:rsidR="003842C8">
        <w:rPr>
          <w:rFonts w:ascii="Times New Roman" w:hAnsi="Times New Roman" w:cs="Times New Roman"/>
          <w:sz w:val="24"/>
          <w:szCs w:val="24"/>
        </w:rPr>
        <w:t xml:space="preserve">and </w:t>
      </w:r>
      <w:r w:rsidRPr="002C3C7A">
        <w:rPr>
          <w:rFonts w:ascii="Times New Roman" w:hAnsi="Times New Roman" w:cs="Times New Roman"/>
          <w:sz w:val="24"/>
          <w:szCs w:val="24"/>
        </w:rPr>
        <w:t>lifelong learning</w:t>
      </w:r>
      <w:r w:rsidR="003842C8">
        <w:rPr>
          <w:rFonts w:ascii="Times New Roman" w:hAnsi="Times New Roman" w:cs="Times New Roman"/>
          <w:sz w:val="24"/>
          <w:szCs w:val="24"/>
        </w:rPr>
        <w:t xml:space="preserve">. </w:t>
      </w:r>
      <w:r w:rsidR="00B23A5B">
        <w:rPr>
          <w:rFonts w:ascii="Times New Roman" w:hAnsi="Times New Roman" w:cs="Times New Roman"/>
          <w:sz w:val="24"/>
          <w:szCs w:val="24"/>
        </w:rPr>
        <w:t xml:space="preserve">There is also a </w:t>
      </w:r>
      <w:r w:rsidR="003842C8">
        <w:rPr>
          <w:rFonts w:ascii="Times New Roman" w:hAnsi="Times New Roman" w:cs="Times New Roman"/>
          <w:sz w:val="24"/>
          <w:szCs w:val="24"/>
        </w:rPr>
        <w:t>need</w:t>
      </w:r>
      <w:r w:rsidR="00B23A5B">
        <w:rPr>
          <w:rFonts w:ascii="Times New Roman" w:hAnsi="Times New Roman" w:cs="Times New Roman"/>
          <w:sz w:val="24"/>
          <w:szCs w:val="24"/>
        </w:rPr>
        <w:t xml:space="preserve"> for</w:t>
      </w:r>
      <w:r w:rsidR="003842C8">
        <w:rPr>
          <w:rFonts w:ascii="Times New Roman" w:hAnsi="Times New Roman" w:cs="Times New Roman"/>
          <w:sz w:val="24"/>
          <w:szCs w:val="24"/>
        </w:rPr>
        <w:t xml:space="preserve"> more </w:t>
      </w:r>
      <w:r w:rsidRPr="002C3C7A">
        <w:rPr>
          <w:rFonts w:ascii="Times New Roman" w:hAnsi="Times New Roman" w:cs="Times New Roman"/>
          <w:sz w:val="24"/>
          <w:szCs w:val="24"/>
        </w:rPr>
        <w:t xml:space="preserve">reforms promoting research and innovation capacity and improving productivity. Such reforms could benefit catching-up Member States </w:t>
      </w:r>
      <w:r w:rsidR="003842C8">
        <w:rPr>
          <w:rFonts w:ascii="Times New Roman" w:hAnsi="Times New Roman" w:cs="Times New Roman"/>
          <w:sz w:val="24"/>
          <w:szCs w:val="24"/>
        </w:rPr>
        <w:t xml:space="preserve">that are </w:t>
      </w:r>
      <w:r w:rsidRPr="002C3C7A">
        <w:rPr>
          <w:rFonts w:ascii="Times New Roman" w:hAnsi="Times New Roman" w:cs="Times New Roman"/>
          <w:sz w:val="24"/>
          <w:szCs w:val="24"/>
        </w:rPr>
        <w:t xml:space="preserve">under increasing pressure to </w:t>
      </w:r>
      <w:r w:rsidR="003842C8">
        <w:rPr>
          <w:rFonts w:ascii="Times New Roman" w:hAnsi="Times New Roman" w:cs="Times New Roman"/>
          <w:sz w:val="24"/>
          <w:szCs w:val="24"/>
        </w:rPr>
        <w:t xml:space="preserve">shift towards </w:t>
      </w:r>
      <w:r w:rsidRPr="002C3C7A">
        <w:rPr>
          <w:rFonts w:ascii="Times New Roman" w:hAnsi="Times New Roman" w:cs="Times New Roman"/>
          <w:sz w:val="24"/>
          <w:szCs w:val="24"/>
        </w:rPr>
        <w:t>specialis</w:t>
      </w:r>
      <w:r w:rsidR="003842C8">
        <w:rPr>
          <w:rFonts w:ascii="Times New Roman" w:hAnsi="Times New Roman" w:cs="Times New Roman"/>
          <w:sz w:val="24"/>
          <w:szCs w:val="24"/>
        </w:rPr>
        <w:t xml:space="preserve">ing in </w:t>
      </w:r>
      <w:r w:rsidRPr="002C3C7A">
        <w:rPr>
          <w:rFonts w:ascii="Times New Roman" w:hAnsi="Times New Roman" w:cs="Times New Roman"/>
          <w:sz w:val="24"/>
          <w:szCs w:val="24"/>
        </w:rPr>
        <w:t xml:space="preserve">knowledge-intensive industries. They could also help countries with chronically low productivity growth. In addition, specific attention should be given to the overall efficiency of welfare </w:t>
      </w:r>
      <w:r w:rsidR="00B65BF7">
        <w:rPr>
          <w:rFonts w:ascii="Times New Roman" w:hAnsi="Times New Roman" w:cs="Times New Roman"/>
          <w:sz w:val="24"/>
          <w:szCs w:val="24"/>
        </w:rPr>
        <w:t xml:space="preserve">and tax-benefit </w:t>
      </w:r>
      <w:r w:rsidRPr="002C3C7A">
        <w:rPr>
          <w:rFonts w:ascii="Times New Roman" w:hAnsi="Times New Roman" w:cs="Times New Roman"/>
          <w:sz w:val="24"/>
          <w:szCs w:val="24"/>
        </w:rPr>
        <w:t xml:space="preserve">systems. In countries with excess savings and low investment, additional investment </w:t>
      </w:r>
      <w:r w:rsidR="003842C8">
        <w:rPr>
          <w:rFonts w:ascii="Times New Roman" w:hAnsi="Times New Roman" w:cs="Times New Roman"/>
          <w:sz w:val="24"/>
          <w:szCs w:val="24"/>
        </w:rPr>
        <w:t xml:space="preserve">is </w:t>
      </w:r>
      <w:r w:rsidRPr="002C3C7A">
        <w:rPr>
          <w:rFonts w:ascii="Times New Roman" w:hAnsi="Times New Roman" w:cs="Times New Roman"/>
          <w:sz w:val="24"/>
          <w:szCs w:val="24"/>
        </w:rPr>
        <w:t>needed to ensure future economic success, particular</w:t>
      </w:r>
      <w:r w:rsidR="003842C8">
        <w:rPr>
          <w:rFonts w:ascii="Times New Roman" w:hAnsi="Times New Roman" w:cs="Times New Roman"/>
          <w:sz w:val="24"/>
          <w:szCs w:val="24"/>
        </w:rPr>
        <w:t>ly</w:t>
      </w:r>
      <w:r w:rsidRPr="002C3C7A">
        <w:rPr>
          <w:rFonts w:ascii="Times New Roman" w:hAnsi="Times New Roman" w:cs="Times New Roman"/>
          <w:sz w:val="24"/>
          <w:szCs w:val="24"/>
        </w:rPr>
        <w:t xml:space="preserve"> </w:t>
      </w:r>
      <w:r w:rsidR="00B23A5B">
        <w:rPr>
          <w:rFonts w:ascii="Times New Roman" w:hAnsi="Times New Roman" w:cs="Times New Roman"/>
          <w:sz w:val="24"/>
          <w:szCs w:val="24"/>
        </w:rPr>
        <w:t xml:space="preserve">given </w:t>
      </w:r>
      <w:r w:rsidR="003842C8">
        <w:rPr>
          <w:rFonts w:ascii="Times New Roman" w:hAnsi="Times New Roman" w:cs="Times New Roman"/>
          <w:sz w:val="24"/>
          <w:szCs w:val="24"/>
        </w:rPr>
        <w:t>the ageing</w:t>
      </w:r>
      <w:r w:rsidR="00B23A5B" w:rsidRPr="00B23A5B">
        <w:rPr>
          <w:rFonts w:ascii="Times New Roman" w:hAnsi="Times New Roman" w:cs="Times New Roman"/>
          <w:sz w:val="24"/>
          <w:szCs w:val="24"/>
        </w:rPr>
        <w:t xml:space="preserve"> </w:t>
      </w:r>
      <w:r w:rsidR="00B23A5B">
        <w:rPr>
          <w:rFonts w:ascii="Times New Roman" w:hAnsi="Times New Roman" w:cs="Times New Roman"/>
          <w:sz w:val="24"/>
          <w:szCs w:val="24"/>
        </w:rPr>
        <w:t xml:space="preserve">of the </w:t>
      </w:r>
      <w:r w:rsidR="00B23A5B" w:rsidRPr="002C3C7A">
        <w:rPr>
          <w:rFonts w:ascii="Times New Roman" w:hAnsi="Times New Roman" w:cs="Times New Roman"/>
          <w:sz w:val="24"/>
          <w:szCs w:val="24"/>
        </w:rPr>
        <w:t>population</w:t>
      </w:r>
      <w:r w:rsidRPr="002C3C7A">
        <w:rPr>
          <w:rFonts w:ascii="Times New Roman" w:hAnsi="Times New Roman" w:cs="Times New Roman"/>
          <w:sz w:val="24"/>
          <w:szCs w:val="24"/>
        </w:rPr>
        <w:t xml:space="preserve">. </w:t>
      </w:r>
    </w:p>
    <w:p w:rsidR="00E729AF" w:rsidRPr="002C3C7A" w:rsidRDefault="00E729AF" w:rsidP="00991AC3">
      <w:pPr>
        <w:jc w:val="both"/>
        <w:rPr>
          <w:rFonts w:ascii="Times New Roman" w:eastAsia="Calibri" w:hAnsi="Times New Roman" w:cs="Times New Roman"/>
          <w:b/>
          <w:sz w:val="24"/>
          <w:szCs w:val="24"/>
        </w:rPr>
      </w:pPr>
      <w:r w:rsidRPr="002C3C7A">
        <w:rPr>
          <w:rFonts w:ascii="Times New Roman" w:eastAsia="Calibri" w:hAnsi="Times New Roman" w:cs="Times New Roman"/>
          <w:b/>
          <w:sz w:val="24"/>
          <w:szCs w:val="24"/>
        </w:rPr>
        <w:t xml:space="preserve">There are still many restrictions that </w:t>
      </w:r>
      <w:r w:rsidR="00930F83">
        <w:rPr>
          <w:rFonts w:ascii="Times New Roman" w:eastAsia="Calibri" w:hAnsi="Times New Roman" w:cs="Times New Roman"/>
          <w:b/>
          <w:sz w:val="24"/>
          <w:szCs w:val="24"/>
        </w:rPr>
        <w:t xml:space="preserve">weigh </w:t>
      </w:r>
      <w:r w:rsidRPr="002C3C7A">
        <w:rPr>
          <w:rFonts w:ascii="Times New Roman" w:eastAsia="Calibri" w:hAnsi="Times New Roman" w:cs="Times New Roman"/>
          <w:b/>
          <w:sz w:val="24"/>
          <w:szCs w:val="24"/>
        </w:rPr>
        <w:t>on business activities.</w:t>
      </w:r>
      <w:r w:rsidRPr="002C3C7A">
        <w:rPr>
          <w:rFonts w:ascii="Times New Roman" w:eastAsia="Calibri" w:hAnsi="Times New Roman" w:cs="Times New Roman"/>
          <w:sz w:val="24"/>
          <w:szCs w:val="24"/>
        </w:rPr>
        <w:t xml:space="preserve"> </w:t>
      </w:r>
      <w:r w:rsidR="00930F83">
        <w:rPr>
          <w:rFonts w:ascii="Times New Roman" w:eastAsia="Calibri" w:hAnsi="Times New Roman" w:cs="Times New Roman"/>
          <w:sz w:val="24"/>
          <w:szCs w:val="24"/>
        </w:rPr>
        <w:t>I</w:t>
      </w:r>
      <w:r w:rsidRPr="002C3C7A">
        <w:rPr>
          <w:rFonts w:ascii="Times New Roman" w:eastAsia="Calibri" w:hAnsi="Times New Roman" w:cs="Times New Roman"/>
          <w:sz w:val="24"/>
          <w:szCs w:val="24"/>
        </w:rPr>
        <w:t xml:space="preserve">nflows of foreign direct investments remain low and trade integration and diversification in some parts of the EU economy </w:t>
      </w:r>
      <w:r w:rsidR="00930F83">
        <w:rPr>
          <w:rFonts w:ascii="Times New Roman" w:eastAsia="Calibri" w:hAnsi="Times New Roman" w:cs="Times New Roman"/>
          <w:sz w:val="24"/>
          <w:szCs w:val="24"/>
        </w:rPr>
        <w:t xml:space="preserve">are still </w:t>
      </w:r>
      <w:r w:rsidRPr="002C3C7A">
        <w:rPr>
          <w:rFonts w:ascii="Times New Roman" w:eastAsia="Calibri" w:hAnsi="Times New Roman" w:cs="Times New Roman"/>
          <w:sz w:val="24"/>
          <w:szCs w:val="24"/>
        </w:rPr>
        <w:t>weak. Restrictions in professional services and disproportionate regulatory requirements and burdensome administrative procedures in some services sectors</w:t>
      </w:r>
      <w:r w:rsidR="00930F83">
        <w:rPr>
          <w:rFonts w:ascii="Times New Roman" w:eastAsia="Calibri" w:hAnsi="Times New Roman" w:cs="Times New Roman"/>
          <w:sz w:val="24"/>
          <w:szCs w:val="24"/>
        </w:rPr>
        <w:t xml:space="preserve"> continue</w:t>
      </w:r>
      <w:r w:rsidR="00726336">
        <w:rPr>
          <w:rFonts w:ascii="Times New Roman" w:eastAsia="Calibri" w:hAnsi="Times New Roman" w:cs="Times New Roman"/>
          <w:sz w:val="24"/>
          <w:szCs w:val="24"/>
        </w:rPr>
        <w:t xml:space="preserve">. The </w:t>
      </w:r>
      <w:r w:rsidRPr="002C3C7A">
        <w:rPr>
          <w:rFonts w:ascii="Times New Roman" w:eastAsia="Calibri" w:hAnsi="Times New Roman" w:cs="Times New Roman"/>
          <w:sz w:val="24"/>
          <w:szCs w:val="24"/>
        </w:rPr>
        <w:t xml:space="preserve">fragmentation </w:t>
      </w:r>
      <w:r w:rsidR="00B65BF7">
        <w:rPr>
          <w:rFonts w:ascii="Times New Roman" w:eastAsia="Calibri" w:hAnsi="Times New Roman" w:cs="Times New Roman"/>
          <w:sz w:val="24"/>
          <w:szCs w:val="24"/>
        </w:rPr>
        <w:t xml:space="preserve">and inefficiencies </w:t>
      </w:r>
      <w:r w:rsidRPr="002C3C7A">
        <w:rPr>
          <w:rFonts w:ascii="Times New Roman" w:eastAsia="Calibri" w:hAnsi="Times New Roman" w:cs="Times New Roman"/>
          <w:sz w:val="24"/>
          <w:szCs w:val="24"/>
        </w:rPr>
        <w:t>of public procurement markets</w:t>
      </w:r>
      <w:r w:rsidR="00726336">
        <w:rPr>
          <w:rFonts w:ascii="Times New Roman" w:eastAsia="Calibri" w:hAnsi="Times New Roman" w:cs="Times New Roman"/>
          <w:sz w:val="24"/>
          <w:szCs w:val="24"/>
        </w:rPr>
        <w:t xml:space="preserve"> persist. These factors </w:t>
      </w:r>
      <w:r w:rsidRPr="002C3C7A">
        <w:rPr>
          <w:rFonts w:ascii="Times New Roman" w:eastAsia="Calibri" w:hAnsi="Times New Roman" w:cs="Times New Roman"/>
          <w:sz w:val="24"/>
          <w:szCs w:val="24"/>
        </w:rPr>
        <w:t xml:space="preserve">continue to hamper trade integration in the internal market and slow down </w:t>
      </w:r>
      <w:r w:rsidR="00350073">
        <w:rPr>
          <w:rFonts w:ascii="Times New Roman" w:eastAsia="Calibri" w:hAnsi="Times New Roman" w:cs="Times New Roman"/>
          <w:sz w:val="24"/>
          <w:szCs w:val="24"/>
        </w:rPr>
        <w:t xml:space="preserve">the </w:t>
      </w:r>
      <w:r w:rsidRPr="002C3C7A">
        <w:rPr>
          <w:rFonts w:ascii="Times New Roman" w:eastAsia="Calibri" w:hAnsi="Times New Roman" w:cs="Times New Roman"/>
          <w:sz w:val="24"/>
          <w:szCs w:val="24"/>
        </w:rPr>
        <w:t xml:space="preserve">value chain integration of businesses by imposing additional costs or restricting their access to markets. </w:t>
      </w:r>
      <w:r w:rsidR="005B3250">
        <w:rPr>
          <w:rFonts w:ascii="Times New Roman" w:eastAsia="Calibri" w:hAnsi="Times New Roman" w:cs="Times New Roman"/>
          <w:sz w:val="24"/>
          <w:szCs w:val="24"/>
        </w:rPr>
        <w:t>Boosting innovation and productivity and reducing disparities in economic performance across firms, sectors and regions creates space for dynamic wage developments and improvements in disposable household incomes.</w:t>
      </w:r>
    </w:p>
    <w:p w:rsidR="00E729AF" w:rsidRPr="002C3C7A" w:rsidRDefault="00E729AF" w:rsidP="00991AC3">
      <w:pPr>
        <w:jc w:val="both"/>
        <w:rPr>
          <w:rFonts w:ascii="Times New Roman" w:eastAsia="Calibri" w:hAnsi="Times New Roman" w:cs="Times New Roman"/>
          <w:sz w:val="24"/>
          <w:szCs w:val="24"/>
        </w:rPr>
      </w:pPr>
      <w:r w:rsidRPr="002C3C7A">
        <w:rPr>
          <w:rFonts w:ascii="Times New Roman" w:eastAsia="Calibri" w:hAnsi="Times New Roman" w:cs="Times New Roman"/>
          <w:b/>
          <w:sz w:val="24"/>
          <w:szCs w:val="24"/>
        </w:rPr>
        <w:t xml:space="preserve">Social </w:t>
      </w:r>
      <w:r w:rsidR="0087510F">
        <w:rPr>
          <w:rFonts w:ascii="Times New Roman" w:eastAsia="Calibri" w:hAnsi="Times New Roman" w:cs="Times New Roman"/>
          <w:b/>
          <w:sz w:val="24"/>
          <w:szCs w:val="24"/>
        </w:rPr>
        <w:t>priorities</w:t>
      </w:r>
      <w:r w:rsidRPr="002C3C7A">
        <w:rPr>
          <w:rFonts w:ascii="Times New Roman" w:eastAsia="Calibri" w:hAnsi="Times New Roman" w:cs="Times New Roman"/>
          <w:b/>
          <w:sz w:val="24"/>
          <w:szCs w:val="24"/>
        </w:rPr>
        <w:t xml:space="preserve"> must be a key part of </w:t>
      </w:r>
      <w:r w:rsidR="0087510F">
        <w:rPr>
          <w:rFonts w:ascii="Times New Roman" w:eastAsia="Calibri" w:hAnsi="Times New Roman" w:cs="Times New Roman"/>
          <w:b/>
          <w:sz w:val="24"/>
          <w:szCs w:val="24"/>
        </w:rPr>
        <w:t xml:space="preserve">the </w:t>
      </w:r>
      <w:r w:rsidRPr="002C3C7A">
        <w:rPr>
          <w:rFonts w:ascii="Times New Roman" w:eastAsia="Calibri" w:hAnsi="Times New Roman" w:cs="Times New Roman"/>
          <w:b/>
          <w:sz w:val="24"/>
          <w:szCs w:val="24"/>
        </w:rPr>
        <w:t>reform efforts</w:t>
      </w:r>
      <w:r w:rsidRPr="002C3C7A">
        <w:rPr>
          <w:rFonts w:ascii="Times New Roman" w:eastAsia="Calibri" w:hAnsi="Times New Roman" w:cs="Times New Roman"/>
          <w:sz w:val="24"/>
          <w:szCs w:val="24"/>
        </w:rPr>
        <w:t xml:space="preserve">. As pointed out in the White Paper on the </w:t>
      </w:r>
      <w:r w:rsidR="00350073">
        <w:rPr>
          <w:rFonts w:ascii="Times New Roman" w:eastAsia="Calibri" w:hAnsi="Times New Roman" w:cs="Times New Roman"/>
          <w:sz w:val="24"/>
          <w:szCs w:val="24"/>
        </w:rPr>
        <w:t>f</w:t>
      </w:r>
      <w:r w:rsidRPr="002C3C7A">
        <w:rPr>
          <w:rFonts w:ascii="Times New Roman" w:eastAsia="Calibri" w:hAnsi="Times New Roman" w:cs="Times New Roman"/>
          <w:sz w:val="24"/>
          <w:szCs w:val="24"/>
        </w:rPr>
        <w:t>uture of Europe</w:t>
      </w:r>
      <w:r w:rsidR="00711926">
        <w:rPr>
          <w:rFonts w:ascii="Times New Roman" w:eastAsia="Calibri" w:hAnsi="Times New Roman" w:cs="Times New Roman"/>
          <w:sz w:val="24"/>
          <w:szCs w:val="24"/>
        </w:rPr>
        <w:t xml:space="preserve"> and in the </w:t>
      </w:r>
      <w:r w:rsidR="00711926" w:rsidRPr="002C3C7A">
        <w:rPr>
          <w:rFonts w:ascii="Times New Roman" w:eastAsia="Calibri" w:hAnsi="Times New Roman" w:cs="Times New Roman"/>
          <w:sz w:val="24"/>
          <w:szCs w:val="24"/>
        </w:rPr>
        <w:t xml:space="preserve">reflection </w:t>
      </w:r>
      <w:r w:rsidR="00B23A5B">
        <w:rPr>
          <w:rFonts w:ascii="Times New Roman" w:eastAsia="Calibri" w:hAnsi="Times New Roman" w:cs="Times New Roman"/>
          <w:sz w:val="24"/>
          <w:szCs w:val="24"/>
        </w:rPr>
        <w:t xml:space="preserve">paper </w:t>
      </w:r>
      <w:r w:rsidR="00711926" w:rsidRPr="002C3C7A">
        <w:rPr>
          <w:rFonts w:ascii="Times New Roman" w:eastAsia="Calibri" w:hAnsi="Times New Roman" w:cs="Times New Roman"/>
          <w:sz w:val="24"/>
          <w:szCs w:val="24"/>
        </w:rPr>
        <w:t>on the social dimension of Europe by 2025</w:t>
      </w:r>
      <w:r w:rsidRPr="002C3C7A">
        <w:rPr>
          <w:rFonts w:ascii="Times New Roman" w:eastAsia="Calibri" w:hAnsi="Times New Roman" w:cs="Times New Roman"/>
          <w:sz w:val="24"/>
          <w:szCs w:val="24"/>
        </w:rPr>
        <w:t xml:space="preserve">, the recovery is still unevenly distributed across society and regions. Addressing the legacy of the crisis, from long-term unemployment to high levels of public and private debt, remains an urgent priority. Structural reforms are needed to foster </w:t>
      </w:r>
      <w:r w:rsidR="003A792A" w:rsidRPr="002C3C7A">
        <w:rPr>
          <w:rFonts w:ascii="Times New Roman" w:eastAsia="Calibri" w:hAnsi="Times New Roman" w:cs="Times New Roman"/>
          <w:sz w:val="24"/>
          <w:szCs w:val="24"/>
        </w:rPr>
        <w:t>social justice</w:t>
      </w:r>
      <w:r w:rsidRPr="002C3C7A">
        <w:rPr>
          <w:rFonts w:ascii="Times New Roman" w:eastAsia="Calibri" w:hAnsi="Times New Roman" w:cs="Times New Roman"/>
          <w:sz w:val="24"/>
          <w:szCs w:val="24"/>
        </w:rPr>
        <w:t xml:space="preserve">, mitigate income inequalities and support </w:t>
      </w:r>
      <w:r w:rsidR="00445450">
        <w:rPr>
          <w:rFonts w:ascii="Times New Roman" w:eastAsia="Calibri" w:hAnsi="Times New Roman" w:cs="Times New Roman"/>
          <w:sz w:val="24"/>
          <w:szCs w:val="24"/>
        </w:rPr>
        <w:t>convergence towards better outcomes</w:t>
      </w:r>
      <w:r w:rsidRPr="002C3C7A">
        <w:rPr>
          <w:rFonts w:ascii="Times New Roman" w:eastAsia="Calibri" w:hAnsi="Times New Roman" w:cs="Times New Roman"/>
          <w:sz w:val="24"/>
          <w:szCs w:val="24"/>
        </w:rPr>
        <w:t xml:space="preserve">. Social </w:t>
      </w:r>
      <w:r w:rsidR="0087510F">
        <w:rPr>
          <w:rFonts w:ascii="Times New Roman" w:eastAsia="Calibri" w:hAnsi="Times New Roman" w:cs="Times New Roman"/>
          <w:sz w:val="24"/>
          <w:szCs w:val="24"/>
        </w:rPr>
        <w:t xml:space="preserve">priorities and </w:t>
      </w:r>
      <w:r w:rsidRPr="002C3C7A">
        <w:rPr>
          <w:rFonts w:ascii="Times New Roman" w:eastAsia="Calibri" w:hAnsi="Times New Roman" w:cs="Times New Roman"/>
          <w:sz w:val="24"/>
          <w:szCs w:val="24"/>
        </w:rPr>
        <w:t>consequences should be taken into account when designing and implementing the reform agenda.</w:t>
      </w:r>
    </w:p>
    <w:p w:rsidR="00E729AF" w:rsidRPr="002C3C7A" w:rsidRDefault="00E729AF" w:rsidP="00991AC3">
      <w:pPr>
        <w:jc w:val="both"/>
        <w:rPr>
          <w:rFonts w:ascii="Times New Roman" w:hAnsi="Times New Roman" w:cs="Times New Roman"/>
          <w:sz w:val="24"/>
          <w:szCs w:val="24"/>
          <w:lang w:eastAsia="en-GB"/>
        </w:rPr>
      </w:pPr>
      <w:r w:rsidRPr="002C3C7A">
        <w:rPr>
          <w:rFonts w:ascii="Times New Roman" w:eastAsia="Calibri" w:hAnsi="Times New Roman" w:cs="Times New Roman"/>
          <w:b/>
          <w:sz w:val="24"/>
          <w:szCs w:val="24"/>
        </w:rPr>
        <w:t xml:space="preserve">To help address some of these issues and </w:t>
      </w:r>
      <w:r w:rsidR="0087510F">
        <w:rPr>
          <w:rFonts w:ascii="Times New Roman" w:eastAsia="Calibri" w:hAnsi="Times New Roman" w:cs="Times New Roman"/>
          <w:b/>
          <w:sz w:val="24"/>
          <w:szCs w:val="24"/>
        </w:rPr>
        <w:t xml:space="preserve">guide further </w:t>
      </w:r>
      <w:r w:rsidRPr="002C3C7A">
        <w:rPr>
          <w:rFonts w:ascii="Times New Roman" w:eastAsia="Calibri" w:hAnsi="Times New Roman" w:cs="Times New Roman"/>
          <w:b/>
          <w:sz w:val="24"/>
          <w:szCs w:val="24"/>
        </w:rPr>
        <w:t>convergence, the Commission has presented its proposal for a European Pillar of Social Rights</w:t>
      </w:r>
      <w:r w:rsidRPr="002C3C7A">
        <w:rPr>
          <w:rFonts w:ascii="Times New Roman" w:eastAsia="Calibri" w:hAnsi="Times New Roman" w:cs="Times New Roman"/>
          <w:sz w:val="24"/>
          <w:szCs w:val="24"/>
        </w:rPr>
        <w:t xml:space="preserve">. The aim of the </w:t>
      </w:r>
      <w:r w:rsidR="00445450">
        <w:rPr>
          <w:rFonts w:ascii="Times New Roman" w:eastAsia="Calibri" w:hAnsi="Times New Roman" w:cs="Times New Roman"/>
          <w:sz w:val="24"/>
          <w:szCs w:val="24"/>
        </w:rPr>
        <w:t>p</w:t>
      </w:r>
      <w:r w:rsidRPr="002C3C7A">
        <w:rPr>
          <w:rFonts w:ascii="Times New Roman" w:eastAsia="Calibri" w:hAnsi="Times New Roman" w:cs="Times New Roman"/>
          <w:sz w:val="24"/>
          <w:szCs w:val="24"/>
        </w:rPr>
        <w:t xml:space="preserve">illar is to </w:t>
      </w:r>
      <w:r w:rsidRPr="002C3C7A">
        <w:rPr>
          <w:rFonts w:ascii="Times New Roman" w:hAnsi="Times New Roman" w:cs="Times New Roman"/>
          <w:sz w:val="24"/>
          <w:szCs w:val="24"/>
        </w:rPr>
        <w:t xml:space="preserve">set out </w:t>
      </w:r>
      <w:r w:rsidRPr="002C3C7A">
        <w:rPr>
          <w:rFonts w:ascii="Times New Roman" w:hAnsi="Times New Roman" w:cs="Times New Roman"/>
          <w:bCs/>
          <w:sz w:val="24"/>
          <w:szCs w:val="24"/>
        </w:rPr>
        <w:t>essential principles</w:t>
      </w:r>
      <w:r w:rsidRPr="002C3C7A">
        <w:rPr>
          <w:rFonts w:ascii="Times New Roman" w:hAnsi="Times New Roman" w:cs="Times New Roman"/>
          <w:sz w:val="24"/>
          <w:szCs w:val="24"/>
        </w:rPr>
        <w:t xml:space="preserve"> to support </w:t>
      </w:r>
      <w:r w:rsidRPr="002C3C7A">
        <w:rPr>
          <w:rFonts w:ascii="Times New Roman" w:hAnsi="Times New Roman" w:cs="Times New Roman"/>
          <w:bCs/>
          <w:sz w:val="24"/>
          <w:szCs w:val="24"/>
        </w:rPr>
        <w:t>well-functioning and fair labour markets</w:t>
      </w:r>
      <w:r w:rsidRPr="002C3C7A">
        <w:rPr>
          <w:rFonts w:ascii="Times New Roman" w:hAnsi="Times New Roman" w:cs="Times New Roman"/>
          <w:sz w:val="24"/>
          <w:szCs w:val="24"/>
        </w:rPr>
        <w:t xml:space="preserve"> and </w:t>
      </w:r>
      <w:r w:rsidRPr="002C3C7A">
        <w:rPr>
          <w:rFonts w:ascii="Times New Roman" w:hAnsi="Times New Roman" w:cs="Times New Roman"/>
          <w:bCs/>
          <w:sz w:val="24"/>
          <w:szCs w:val="24"/>
        </w:rPr>
        <w:t>welfare systems</w:t>
      </w:r>
      <w:r w:rsidRPr="002C3C7A">
        <w:rPr>
          <w:rFonts w:ascii="Times New Roman" w:hAnsi="Times New Roman" w:cs="Times New Roman"/>
          <w:sz w:val="24"/>
          <w:szCs w:val="24"/>
        </w:rPr>
        <w:t>.</w:t>
      </w:r>
      <w:r w:rsidRPr="002C3C7A">
        <w:rPr>
          <w:rFonts w:ascii="Times New Roman" w:eastAsia="Calibri" w:hAnsi="Times New Roman" w:cs="Times New Roman"/>
          <w:sz w:val="24"/>
          <w:szCs w:val="24"/>
        </w:rPr>
        <w:t xml:space="preserve"> The </w:t>
      </w:r>
      <w:r w:rsidR="00445450">
        <w:rPr>
          <w:rFonts w:ascii="Times New Roman" w:eastAsia="Calibri" w:hAnsi="Times New Roman" w:cs="Times New Roman"/>
          <w:sz w:val="24"/>
          <w:szCs w:val="24"/>
        </w:rPr>
        <w:t>p</w:t>
      </w:r>
      <w:r w:rsidRPr="002C3C7A">
        <w:rPr>
          <w:rFonts w:ascii="Times New Roman" w:eastAsia="Calibri" w:hAnsi="Times New Roman" w:cs="Times New Roman"/>
          <w:sz w:val="24"/>
          <w:szCs w:val="24"/>
        </w:rPr>
        <w:t xml:space="preserve">illar is designed as a compass for a renewed process of convergence. The analysis and recommendations of the European Semester will reflect and promote the principles enshrined in the </w:t>
      </w:r>
      <w:r w:rsidR="0087510F" w:rsidRPr="002C3C7A">
        <w:rPr>
          <w:rFonts w:ascii="Times New Roman" w:eastAsia="Calibri" w:hAnsi="Times New Roman" w:cs="Times New Roman"/>
          <w:sz w:val="24"/>
          <w:szCs w:val="24"/>
        </w:rPr>
        <w:t xml:space="preserve">illar </w:t>
      </w:r>
      <w:r w:rsidRPr="002C3C7A">
        <w:rPr>
          <w:rFonts w:ascii="Times New Roman" w:eastAsia="Calibri" w:hAnsi="Times New Roman" w:cs="Times New Roman"/>
          <w:sz w:val="24"/>
          <w:szCs w:val="24"/>
        </w:rPr>
        <w:t>by assessing, monitoring and comparing the progress made towards implementi</w:t>
      </w:r>
      <w:r w:rsidR="00445450">
        <w:rPr>
          <w:rFonts w:ascii="Times New Roman" w:eastAsia="Calibri" w:hAnsi="Times New Roman" w:cs="Times New Roman"/>
          <w:sz w:val="24"/>
          <w:szCs w:val="24"/>
        </w:rPr>
        <w:t>ng them</w:t>
      </w:r>
      <w:r w:rsidRPr="002C3C7A">
        <w:rPr>
          <w:rFonts w:ascii="Times New Roman" w:eastAsia="Calibri" w:hAnsi="Times New Roman" w:cs="Times New Roman"/>
          <w:sz w:val="24"/>
          <w:szCs w:val="24"/>
        </w:rPr>
        <w:t xml:space="preserve">. </w:t>
      </w:r>
      <w:r w:rsidRPr="002C3C7A">
        <w:rPr>
          <w:rFonts w:ascii="Times New Roman" w:eastAsia="Calibri" w:hAnsi="Times New Roman" w:cs="Times New Roman"/>
          <w:sz w:val="24"/>
          <w:szCs w:val="24"/>
        </w:rPr>
        <w:lastRenderedPageBreak/>
        <w:t xml:space="preserve">Benchmarking and exchange of best practices will be conducted in a number of areas. </w:t>
      </w:r>
      <w:r w:rsidR="0087510F">
        <w:rPr>
          <w:rFonts w:ascii="Times New Roman" w:eastAsia="Calibri" w:hAnsi="Times New Roman" w:cs="Times New Roman"/>
          <w:sz w:val="24"/>
          <w:szCs w:val="24"/>
        </w:rPr>
        <w:t xml:space="preserve">A </w:t>
      </w:r>
      <w:r w:rsidR="00B23A5B">
        <w:rPr>
          <w:rFonts w:ascii="Times New Roman" w:eastAsia="Calibri" w:hAnsi="Times New Roman" w:cs="Times New Roman"/>
          <w:sz w:val="24"/>
          <w:szCs w:val="24"/>
        </w:rPr>
        <w:t>s</w:t>
      </w:r>
      <w:r w:rsidR="0087510F">
        <w:rPr>
          <w:rFonts w:ascii="Times New Roman" w:eastAsia="Calibri" w:hAnsi="Times New Roman" w:cs="Times New Roman"/>
          <w:sz w:val="24"/>
          <w:szCs w:val="24"/>
        </w:rPr>
        <w:t xml:space="preserve">ocial </w:t>
      </w:r>
      <w:r w:rsidR="00B23A5B">
        <w:rPr>
          <w:rFonts w:ascii="Times New Roman" w:eastAsia="Calibri" w:hAnsi="Times New Roman" w:cs="Times New Roman"/>
          <w:sz w:val="24"/>
          <w:szCs w:val="24"/>
        </w:rPr>
        <w:t>s</w:t>
      </w:r>
      <w:r w:rsidR="0087510F">
        <w:rPr>
          <w:rFonts w:ascii="Times New Roman" w:eastAsia="Calibri" w:hAnsi="Times New Roman" w:cs="Times New Roman"/>
          <w:sz w:val="24"/>
          <w:szCs w:val="24"/>
        </w:rPr>
        <w:t>coreboard will help to track progress.</w:t>
      </w:r>
    </w:p>
    <w:p w:rsidR="00E729AF" w:rsidRPr="002C3C7A" w:rsidRDefault="00E729AF" w:rsidP="00991AC3">
      <w:pPr>
        <w:jc w:val="both"/>
        <w:rPr>
          <w:rFonts w:ascii="Times New Roman" w:eastAsia="Calibri" w:hAnsi="Times New Roman" w:cs="Times New Roman"/>
          <w:sz w:val="24"/>
          <w:szCs w:val="24"/>
        </w:rPr>
      </w:pPr>
      <w:r w:rsidRPr="002C3C7A">
        <w:rPr>
          <w:rFonts w:ascii="Times New Roman" w:eastAsia="Calibri" w:hAnsi="Times New Roman" w:cs="Times New Roman"/>
          <w:b/>
          <w:sz w:val="24"/>
          <w:szCs w:val="24"/>
        </w:rPr>
        <w:t xml:space="preserve">The European Semester and country-specific recommendations provide </w:t>
      </w:r>
      <w:r w:rsidR="00676D88">
        <w:rPr>
          <w:rFonts w:ascii="Times New Roman" w:eastAsia="Calibri" w:hAnsi="Times New Roman" w:cs="Times New Roman"/>
          <w:b/>
          <w:sz w:val="24"/>
          <w:szCs w:val="24"/>
        </w:rPr>
        <w:t xml:space="preserve">annual </w:t>
      </w:r>
      <w:r w:rsidRPr="002C3C7A">
        <w:rPr>
          <w:rFonts w:ascii="Times New Roman" w:eastAsia="Calibri" w:hAnsi="Times New Roman" w:cs="Times New Roman"/>
          <w:b/>
          <w:sz w:val="24"/>
          <w:szCs w:val="24"/>
        </w:rPr>
        <w:t>guidance for the Member States</w:t>
      </w:r>
      <w:r w:rsidR="000E04A6">
        <w:rPr>
          <w:rFonts w:ascii="Times New Roman" w:eastAsia="Calibri" w:hAnsi="Times New Roman" w:cs="Times New Roman"/>
          <w:b/>
          <w:sz w:val="24"/>
          <w:szCs w:val="24"/>
        </w:rPr>
        <w:t>’</w:t>
      </w:r>
      <w:r w:rsidRPr="002C3C7A">
        <w:rPr>
          <w:rFonts w:ascii="Times New Roman" w:eastAsia="Calibri" w:hAnsi="Times New Roman" w:cs="Times New Roman"/>
          <w:b/>
          <w:sz w:val="24"/>
          <w:szCs w:val="24"/>
        </w:rPr>
        <w:t xml:space="preserve"> reforms. </w:t>
      </w:r>
      <w:r w:rsidRPr="002C3C7A">
        <w:rPr>
          <w:rFonts w:ascii="Times New Roman" w:eastAsia="Calibri" w:hAnsi="Times New Roman" w:cs="Times New Roman"/>
          <w:sz w:val="24"/>
          <w:szCs w:val="24"/>
        </w:rPr>
        <w:t xml:space="preserve">While the recommendations to the Member States are adjusted every year to reflect the progress made and the changing environment, they are firmly anchored in the wider priorities outlined in the </w:t>
      </w:r>
      <w:r w:rsidR="00350073">
        <w:rPr>
          <w:rFonts w:ascii="Times New Roman" w:eastAsia="Calibri" w:hAnsi="Times New Roman" w:cs="Times New Roman"/>
          <w:sz w:val="24"/>
          <w:szCs w:val="24"/>
        </w:rPr>
        <w:t xml:space="preserve">Commission </w:t>
      </w:r>
      <w:r w:rsidRPr="002C3C7A">
        <w:rPr>
          <w:rFonts w:ascii="Times New Roman" w:eastAsia="Calibri" w:hAnsi="Times New Roman" w:cs="Times New Roman"/>
          <w:sz w:val="24"/>
          <w:szCs w:val="24"/>
        </w:rPr>
        <w:t>President</w:t>
      </w:r>
      <w:r w:rsidR="000E04A6">
        <w:rPr>
          <w:rFonts w:ascii="Times New Roman" w:eastAsia="Calibri" w:hAnsi="Times New Roman" w:cs="Times New Roman"/>
          <w:sz w:val="24"/>
          <w:szCs w:val="24"/>
        </w:rPr>
        <w:t>’</w:t>
      </w:r>
      <w:r w:rsidRPr="002C3C7A">
        <w:rPr>
          <w:rFonts w:ascii="Times New Roman" w:eastAsia="Calibri" w:hAnsi="Times New Roman" w:cs="Times New Roman"/>
          <w:sz w:val="24"/>
          <w:szCs w:val="24"/>
        </w:rPr>
        <w:t xml:space="preserve">s State of the Union address and the Annual Growth Survey. For the euro area countries, they also reflect the recommendations for the economic policy of the euro area. Coherence and consistency between </w:t>
      </w:r>
      <w:r w:rsidR="000E04A6">
        <w:rPr>
          <w:rFonts w:ascii="Times New Roman" w:eastAsia="Calibri" w:hAnsi="Times New Roman" w:cs="Times New Roman"/>
          <w:sz w:val="24"/>
          <w:szCs w:val="24"/>
        </w:rPr>
        <w:t xml:space="preserve">the </w:t>
      </w:r>
      <w:r w:rsidRPr="002C3C7A">
        <w:rPr>
          <w:rFonts w:ascii="Times New Roman" w:eastAsia="Calibri" w:hAnsi="Times New Roman" w:cs="Times New Roman"/>
          <w:sz w:val="24"/>
          <w:szCs w:val="24"/>
        </w:rPr>
        <w:t xml:space="preserve">recommendations </w:t>
      </w:r>
      <w:r w:rsidR="000E04A6">
        <w:rPr>
          <w:rFonts w:ascii="Times New Roman" w:eastAsia="Calibri" w:hAnsi="Times New Roman" w:cs="Times New Roman"/>
          <w:sz w:val="24"/>
          <w:szCs w:val="24"/>
        </w:rPr>
        <w:t xml:space="preserve">for </w:t>
      </w:r>
      <w:r w:rsidRPr="002C3C7A">
        <w:rPr>
          <w:rFonts w:ascii="Times New Roman" w:eastAsia="Calibri" w:hAnsi="Times New Roman" w:cs="Times New Roman"/>
          <w:sz w:val="24"/>
          <w:szCs w:val="24"/>
        </w:rPr>
        <w:t>the euro area and the country</w:t>
      </w:r>
      <w:r w:rsidR="00350073">
        <w:rPr>
          <w:rFonts w:ascii="Times New Roman" w:eastAsia="Calibri" w:hAnsi="Times New Roman" w:cs="Times New Roman"/>
          <w:sz w:val="24"/>
          <w:szCs w:val="24"/>
        </w:rPr>
        <w:t>-</w:t>
      </w:r>
      <w:r w:rsidRPr="002C3C7A">
        <w:rPr>
          <w:rFonts w:ascii="Times New Roman" w:eastAsia="Calibri" w:hAnsi="Times New Roman" w:cs="Times New Roman"/>
          <w:sz w:val="24"/>
          <w:szCs w:val="24"/>
        </w:rPr>
        <w:t xml:space="preserve">specific recommendations is essential to ensure that the appropriate policy mix is achieved at euro area level and that spillovers </w:t>
      </w:r>
      <w:r w:rsidR="000E04A6">
        <w:rPr>
          <w:rFonts w:ascii="Times New Roman" w:eastAsia="Calibri" w:hAnsi="Times New Roman" w:cs="Times New Roman"/>
          <w:sz w:val="24"/>
          <w:szCs w:val="24"/>
        </w:rPr>
        <w:t xml:space="preserve">within </w:t>
      </w:r>
      <w:r w:rsidR="00B23A5B">
        <w:rPr>
          <w:rFonts w:ascii="Times New Roman" w:eastAsia="Calibri" w:hAnsi="Times New Roman" w:cs="Times New Roman"/>
          <w:sz w:val="24"/>
          <w:szCs w:val="24"/>
        </w:rPr>
        <w:t xml:space="preserve">the </w:t>
      </w:r>
      <w:r w:rsidR="000E04A6">
        <w:rPr>
          <w:rFonts w:ascii="Times New Roman" w:eastAsia="Calibri" w:hAnsi="Times New Roman" w:cs="Times New Roman"/>
          <w:sz w:val="24"/>
          <w:szCs w:val="24"/>
        </w:rPr>
        <w:t xml:space="preserve">euro area </w:t>
      </w:r>
      <w:r w:rsidRPr="002C3C7A">
        <w:rPr>
          <w:rFonts w:ascii="Times New Roman" w:eastAsia="Calibri" w:hAnsi="Times New Roman" w:cs="Times New Roman"/>
          <w:sz w:val="24"/>
          <w:szCs w:val="24"/>
        </w:rPr>
        <w:t>are appropriately reflected in the policy-making process. The wider and longer-term vision of the Europe 2020 strategy</w:t>
      </w:r>
      <w:r w:rsidR="005B3250">
        <w:rPr>
          <w:rFonts w:ascii="Times New Roman" w:eastAsia="Calibri" w:hAnsi="Times New Roman" w:cs="Times New Roman"/>
          <w:sz w:val="24"/>
          <w:szCs w:val="24"/>
        </w:rPr>
        <w:t xml:space="preserve"> and the 2030 Sustainable Development Goals are</w:t>
      </w:r>
      <w:r w:rsidR="007B7442">
        <w:rPr>
          <w:rFonts w:ascii="Times New Roman" w:eastAsia="Calibri" w:hAnsi="Times New Roman" w:cs="Times New Roman"/>
          <w:sz w:val="24"/>
          <w:szCs w:val="24"/>
        </w:rPr>
        <w:t xml:space="preserve"> </w:t>
      </w:r>
      <w:r w:rsidR="00B23A5B">
        <w:rPr>
          <w:rFonts w:ascii="Times New Roman" w:eastAsia="Calibri" w:hAnsi="Times New Roman" w:cs="Times New Roman"/>
          <w:sz w:val="24"/>
          <w:szCs w:val="24"/>
        </w:rPr>
        <w:t>important</w:t>
      </w:r>
      <w:r w:rsidR="007B7442">
        <w:rPr>
          <w:rFonts w:ascii="Times New Roman" w:eastAsia="Calibri" w:hAnsi="Times New Roman" w:cs="Times New Roman"/>
          <w:sz w:val="24"/>
          <w:szCs w:val="24"/>
        </w:rPr>
        <w:t xml:space="preserve"> to guide action on an annual basis and are </w:t>
      </w:r>
      <w:r w:rsidR="000B1D30">
        <w:rPr>
          <w:rFonts w:ascii="Times New Roman" w:eastAsia="Calibri" w:hAnsi="Times New Roman" w:cs="Times New Roman"/>
          <w:sz w:val="24"/>
          <w:szCs w:val="24"/>
        </w:rPr>
        <w:t xml:space="preserve">key to guide action on an annual basis and are </w:t>
      </w:r>
      <w:r w:rsidR="007B7442">
        <w:rPr>
          <w:rFonts w:ascii="Times New Roman" w:eastAsia="Calibri" w:hAnsi="Times New Roman" w:cs="Times New Roman"/>
          <w:sz w:val="24"/>
          <w:szCs w:val="24"/>
        </w:rPr>
        <w:t>fully</w:t>
      </w:r>
      <w:r w:rsidR="005B3250">
        <w:rPr>
          <w:rFonts w:ascii="Times New Roman" w:eastAsia="Calibri" w:hAnsi="Times New Roman" w:cs="Times New Roman"/>
          <w:sz w:val="24"/>
          <w:szCs w:val="24"/>
        </w:rPr>
        <w:t xml:space="preserve"> integrated</w:t>
      </w:r>
      <w:r w:rsidRPr="002C3C7A">
        <w:rPr>
          <w:rFonts w:ascii="Times New Roman" w:eastAsia="Calibri" w:hAnsi="Times New Roman" w:cs="Times New Roman"/>
          <w:sz w:val="24"/>
          <w:szCs w:val="24"/>
        </w:rPr>
        <w:t xml:space="preserve"> in the European Semester. </w:t>
      </w:r>
    </w:p>
    <w:p w:rsidR="00E729AF" w:rsidRDefault="00E729AF" w:rsidP="00991AC3">
      <w:pPr>
        <w:jc w:val="both"/>
        <w:rPr>
          <w:rFonts w:ascii="Times New Roman" w:eastAsia="Calibri" w:hAnsi="Times New Roman" w:cs="Times New Roman"/>
          <w:sz w:val="24"/>
          <w:szCs w:val="24"/>
        </w:rPr>
      </w:pPr>
      <w:r w:rsidRPr="002C3C7A">
        <w:rPr>
          <w:rFonts w:ascii="Times New Roman" w:eastAsia="Calibri" w:hAnsi="Times New Roman" w:cs="Times New Roman"/>
          <w:b/>
          <w:sz w:val="24"/>
          <w:szCs w:val="24"/>
        </w:rPr>
        <w:t>The Commission has taken concrete steps to improve and support the implementation and ownership of reforms by the Member States.</w:t>
      </w:r>
      <w:r w:rsidRPr="002C3C7A">
        <w:rPr>
          <w:rFonts w:ascii="Times New Roman" w:eastAsia="Calibri" w:hAnsi="Times New Roman" w:cs="Times New Roman"/>
          <w:sz w:val="24"/>
          <w:szCs w:val="24"/>
        </w:rPr>
        <w:t xml:space="preserve"> As in previous years, the recommendations are based on a comprehensive multi-level dialogue with the European Parliament, national parliaments, Member States</w:t>
      </w:r>
      <w:r w:rsidR="007B7442">
        <w:rPr>
          <w:rFonts w:ascii="Times New Roman" w:eastAsia="Calibri" w:hAnsi="Times New Roman" w:cs="Times New Roman"/>
          <w:sz w:val="24"/>
          <w:szCs w:val="24"/>
        </w:rPr>
        <w:t>' public authorities</w:t>
      </w:r>
      <w:r w:rsidRPr="002C3C7A">
        <w:rPr>
          <w:rFonts w:ascii="Times New Roman" w:eastAsia="Calibri" w:hAnsi="Times New Roman" w:cs="Times New Roman"/>
          <w:sz w:val="24"/>
          <w:szCs w:val="24"/>
        </w:rPr>
        <w:t>, social partners, civil society and other key stakeholders. For the first time, the Commission consulted the Member States on the draft country reports</w:t>
      </w:r>
      <w:r w:rsidR="007B7442">
        <w:rPr>
          <w:rFonts w:ascii="Times New Roman" w:eastAsia="Calibri" w:hAnsi="Times New Roman" w:cs="Times New Roman"/>
          <w:sz w:val="24"/>
          <w:szCs w:val="24"/>
        </w:rPr>
        <w:t xml:space="preserve"> published in February</w:t>
      </w:r>
      <w:r w:rsidRPr="002C3C7A">
        <w:rPr>
          <w:rFonts w:ascii="Times New Roman" w:eastAsia="Calibri" w:hAnsi="Times New Roman" w:cs="Times New Roman"/>
          <w:sz w:val="24"/>
          <w:szCs w:val="24"/>
        </w:rPr>
        <w:t>,</w:t>
      </w:r>
      <w:r w:rsidR="007B7442">
        <w:rPr>
          <w:rStyle w:val="FootnoteReference"/>
          <w:rFonts w:ascii="Times New Roman" w:eastAsia="Calibri" w:hAnsi="Times New Roman" w:cs="Times New Roman"/>
          <w:sz w:val="24"/>
          <w:szCs w:val="24"/>
        </w:rPr>
        <w:footnoteReference w:id="2"/>
      </w:r>
      <w:r w:rsidRPr="002C3C7A">
        <w:rPr>
          <w:rFonts w:ascii="Times New Roman" w:eastAsia="Calibri" w:hAnsi="Times New Roman" w:cs="Times New Roman"/>
          <w:sz w:val="24"/>
          <w:szCs w:val="24"/>
        </w:rPr>
        <w:t xml:space="preserve"> thus strengthening common understanding of the key economic and social priorities. The Commission also holds regular consultations with social partners </w:t>
      </w:r>
      <w:r w:rsidR="00711926">
        <w:rPr>
          <w:rFonts w:ascii="Times New Roman" w:eastAsia="Calibri" w:hAnsi="Times New Roman" w:cs="Times New Roman"/>
          <w:sz w:val="24"/>
          <w:szCs w:val="24"/>
        </w:rPr>
        <w:t xml:space="preserve">at EU and national levels </w:t>
      </w:r>
      <w:r w:rsidRPr="002C3C7A">
        <w:rPr>
          <w:rFonts w:ascii="Times New Roman" w:eastAsia="Calibri" w:hAnsi="Times New Roman" w:cs="Times New Roman"/>
          <w:sz w:val="24"/>
          <w:szCs w:val="24"/>
        </w:rPr>
        <w:t>and has invited Member States to pay greater attention to the contribution of national social partners</w:t>
      </w:r>
      <w:r w:rsidR="00F57D0D">
        <w:rPr>
          <w:rFonts w:ascii="Times New Roman" w:eastAsia="Calibri" w:hAnsi="Times New Roman" w:cs="Times New Roman"/>
          <w:sz w:val="24"/>
          <w:szCs w:val="24"/>
        </w:rPr>
        <w:t>. This</w:t>
      </w:r>
      <w:r w:rsidRPr="002C3C7A">
        <w:rPr>
          <w:rFonts w:ascii="Times New Roman" w:eastAsia="Calibri" w:hAnsi="Times New Roman" w:cs="Times New Roman"/>
          <w:sz w:val="24"/>
          <w:szCs w:val="24"/>
        </w:rPr>
        <w:t xml:space="preserve"> includ</w:t>
      </w:r>
      <w:r w:rsidR="00F57D0D">
        <w:rPr>
          <w:rFonts w:ascii="Times New Roman" w:eastAsia="Calibri" w:hAnsi="Times New Roman" w:cs="Times New Roman"/>
          <w:sz w:val="24"/>
          <w:szCs w:val="24"/>
        </w:rPr>
        <w:t>es involving</w:t>
      </w:r>
      <w:r w:rsidRPr="002C3C7A">
        <w:rPr>
          <w:rFonts w:ascii="Times New Roman" w:eastAsia="Calibri" w:hAnsi="Times New Roman" w:cs="Times New Roman"/>
          <w:sz w:val="24"/>
          <w:szCs w:val="24"/>
        </w:rPr>
        <w:t xml:space="preserve"> </w:t>
      </w:r>
      <w:r w:rsidR="00F57D0D">
        <w:rPr>
          <w:rFonts w:ascii="Times New Roman" w:eastAsia="Calibri" w:hAnsi="Times New Roman" w:cs="Times New Roman"/>
          <w:sz w:val="24"/>
          <w:szCs w:val="24"/>
        </w:rPr>
        <w:t xml:space="preserve">them more </w:t>
      </w:r>
      <w:r w:rsidR="007B7442">
        <w:rPr>
          <w:rFonts w:ascii="Times New Roman" w:eastAsia="Calibri" w:hAnsi="Times New Roman" w:cs="Times New Roman"/>
          <w:sz w:val="24"/>
          <w:szCs w:val="24"/>
        </w:rPr>
        <w:t>closely</w:t>
      </w:r>
      <w:r w:rsidR="007B7442" w:rsidRPr="002C3C7A">
        <w:rPr>
          <w:rFonts w:ascii="Times New Roman" w:eastAsia="Calibri" w:hAnsi="Times New Roman" w:cs="Times New Roman"/>
          <w:sz w:val="24"/>
          <w:szCs w:val="24"/>
        </w:rPr>
        <w:t xml:space="preserve"> </w:t>
      </w:r>
      <w:r w:rsidRPr="002C3C7A">
        <w:rPr>
          <w:rFonts w:ascii="Times New Roman" w:eastAsia="Calibri" w:hAnsi="Times New Roman" w:cs="Times New Roman"/>
          <w:sz w:val="24"/>
          <w:szCs w:val="24"/>
        </w:rPr>
        <w:t>in the elaboration of National Reform Programmes and consulti</w:t>
      </w:r>
      <w:r w:rsidR="00F57D0D">
        <w:rPr>
          <w:rFonts w:ascii="Times New Roman" w:eastAsia="Calibri" w:hAnsi="Times New Roman" w:cs="Times New Roman"/>
          <w:sz w:val="24"/>
          <w:szCs w:val="24"/>
        </w:rPr>
        <w:t>ng</w:t>
      </w:r>
      <w:r w:rsidRPr="002C3C7A">
        <w:rPr>
          <w:rFonts w:ascii="Times New Roman" w:eastAsia="Calibri" w:hAnsi="Times New Roman" w:cs="Times New Roman"/>
          <w:sz w:val="24"/>
          <w:szCs w:val="24"/>
        </w:rPr>
        <w:t xml:space="preserve"> </w:t>
      </w:r>
      <w:r w:rsidR="00F57D0D">
        <w:rPr>
          <w:rFonts w:ascii="Times New Roman" w:eastAsia="Calibri" w:hAnsi="Times New Roman" w:cs="Times New Roman"/>
          <w:sz w:val="24"/>
          <w:szCs w:val="24"/>
        </w:rPr>
        <w:t xml:space="preserve">then </w:t>
      </w:r>
      <w:r w:rsidRPr="002C3C7A">
        <w:rPr>
          <w:rFonts w:ascii="Times New Roman" w:eastAsia="Calibri" w:hAnsi="Times New Roman" w:cs="Times New Roman"/>
          <w:sz w:val="24"/>
          <w:szCs w:val="24"/>
        </w:rPr>
        <w:t>on key milestones of the Semester. In its proposal</w:t>
      </w:r>
      <w:r w:rsidR="00350073">
        <w:rPr>
          <w:rFonts w:ascii="Times New Roman" w:eastAsia="Calibri" w:hAnsi="Times New Roman" w:cs="Times New Roman"/>
          <w:sz w:val="24"/>
          <w:szCs w:val="24"/>
        </w:rPr>
        <w:t>s</w:t>
      </w:r>
      <w:r w:rsidRPr="002C3C7A">
        <w:rPr>
          <w:rFonts w:ascii="Times New Roman" w:eastAsia="Calibri" w:hAnsi="Times New Roman" w:cs="Times New Roman"/>
          <w:sz w:val="24"/>
          <w:szCs w:val="24"/>
        </w:rPr>
        <w:t xml:space="preserve"> for this year's country-specific recommendations, the Commission also focuses on the issues that require the most urgent attention. </w:t>
      </w:r>
    </w:p>
    <w:p w:rsidR="007B7442" w:rsidRPr="002C3C7A" w:rsidRDefault="007B7442" w:rsidP="00991AC3">
      <w:pPr>
        <w:jc w:val="both"/>
        <w:rPr>
          <w:rFonts w:ascii="Times New Roman" w:eastAsia="Calibri" w:hAnsi="Times New Roman" w:cs="Times New Roman"/>
          <w:sz w:val="24"/>
          <w:szCs w:val="24"/>
        </w:rPr>
      </w:pPr>
    </w:p>
    <w:p w:rsidR="00E729AF" w:rsidRPr="002C3C7A" w:rsidRDefault="00E729AF" w:rsidP="00991AC3">
      <w:pPr>
        <w:keepNext/>
        <w:numPr>
          <w:ilvl w:val="0"/>
          <w:numId w:val="1"/>
        </w:numPr>
        <w:spacing w:before="360" w:after="0" w:line="240" w:lineRule="auto"/>
        <w:ind w:left="851" w:hanging="851"/>
        <w:jc w:val="both"/>
        <w:outlineLvl w:val="0"/>
        <w:rPr>
          <w:rFonts w:ascii="Times New Roman" w:hAnsi="Times New Roman" w:cs="Times New Roman"/>
          <w:b/>
          <w:bCs/>
          <w:smallCaps/>
          <w:sz w:val="24"/>
          <w:szCs w:val="24"/>
        </w:rPr>
      </w:pPr>
      <w:r w:rsidRPr="002C3C7A">
        <w:rPr>
          <w:rFonts w:ascii="Times New Roman" w:hAnsi="Times New Roman" w:cs="Times New Roman"/>
          <w:b/>
          <w:bCs/>
          <w:smallCaps/>
          <w:sz w:val="24"/>
          <w:szCs w:val="24"/>
        </w:rPr>
        <w:t xml:space="preserve">Overall progress in reforms and correcting imbalances </w:t>
      </w:r>
    </w:p>
    <w:p w:rsidR="00E729AF" w:rsidRPr="002C3C7A" w:rsidRDefault="00E729AF" w:rsidP="00991AC3">
      <w:pPr>
        <w:jc w:val="both"/>
        <w:rPr>
          <w:rFonts w:ascii="Times New Roman" w:hAnsi="Times New Roman" w:cs="Times New Roman"/>
          <w:b/>
          <w:sz w:val="24"/>
          <w:szCs w:val="24"/>
        </w:rPr>
      </w:pPr>
    </w:p>
    <w:p w:rsidR="00E729AF" w:rsidRPr="002C3C7A" w:rsidRDefault="0081475A" w:rsidP="00991AC3">
      <w:pPr>
        <w:jc w:val="both"/>
        <w:rPr>
          <w:rFonts w:ascii="Times New Roman" w:hAnsi="Times New Roman" w:cs="Times New Roman"/>
          <w:sz w:val="24"/>
          <w:szCs w:val="24"/>
        </w:rPr>
      </w:pPr>
      <w:r>
        <w:rPr>
          <w:rFonts w:ascii="Times New Roman" w:hAnsi="Times New Roman" w:cs="Times New Roman"/>
          <w:b/>
          <w:sz w:val="24"/>
          <w:szCs w:val="24"/>
        </w:rPr>
        <w:t xml:space="preserve">The experience of the past few </w:t>
      </w:r>
      <w:r w:rsidR="00E729AF" w:rsidRPr="002C3C7A">
        <w:rPr>
          <w:rFonts w:ascii="Times New Roman" w:hAnsi="Times New Roman" w:cs="Times New Roman"/>
          <w:b/>
          <w:sz w:val="24"/>
          <w:szCs w:val="24"/>
        </w:rPr>
        <w:t>years</w:t>
      </w:r>
      <w:r>
        <w:rPr>
          <w:rFonts w:ascii="Times New Roman" w:hAnsi="Times New Roman" w:cs="Times New Roman"/>
          <w:b/>
          <w:sz w:val="24"/>
          <w:szCs w:val="24"/>
        </w:rPr>
        <w:t xml:space="preserve"> confirms that</w:t>
      </w:r>
      <w:r w:rsidR="00E729AF" w:rsidRPr="002C3C7A">
        <w:rPr>
          <w:rFonts w:ascii="Times New Roman" w:hAnsi="Times New Roman" w:cs="Times New Roman"/>
          <w:b/>
          <w:sz w:val="24"/>
          <w:szCs w:val="24"/>
        </w:rPr>
        <w:t xml:space="preserve"> the Member States </w:t>
      </w:r>
      <w:r>
        <w:rPr>
          <w:rFonts w:ascii="Times New Roman" w:hAnsi="Times New Roman" w:cs="Times New Roman"/>
          <w:b/>
          <w:sz w:val="24"/>
          <w:szCs w:val="24"/>
        </w:rPr>
        <w:t xml:space="preserve">are committed </w:t>
      </w:r>
      <w:r w:rsidR="00E729AF" w:rsidRPr="002C3C7A">
        <w:rPr>
          <w:rFonts w:ascii="Times New Roman" w:hAnsi="Times New Roman" w:cs="Times New Roman"/>
          <w:b/>
          <w:sz w:val="24"/>
          <w:szCs w:val="24"/>
        </w:rPr>
        <w:t>to pursu</w:t>
      </w:r>
      <w:r>
        <w:rPr>
          <w:rFonts w:ascii="Times New Roman" w:hAnsi="Times New Roman" w:cs="Times New Roman"/>
          <w:b/>
          <w:sz w:val="24"/>
          <w:szCs w:val="24"/>
        </w:rPr>
        <w:t>ing</w:t>
      </w:r>
      <w:r w:rsidR="00E729AF" w:rsidRPr="002C3C7A">
        <w:rPr>
          <w:rFonts w:ascii="Times New Roman" w:hAnsi="Times New Roman" w:cs="Times New Roman"/>
          <w:b/>
          <w:sz w:val="24"/>
          <w:szCs w:val="24"/>
        </w:rPr>
        <w:t xml:space="preserve"> structural reforms actively. </w:t>
      </w:r>
      <w:r>
        <w:rPr>
          <w:rFonts w:ascii="Times New Roman" w:hAnsi="Times New Roman" w:cs="Times New Roman"/>
          <w:sz w:val="24"/>
          <w:szCs w:val="24"/>
        </w:rPr>
        <w:t>T</w:t>
      </w:r>
      <w:r w:rsidR="00E729AF" w:rsidRPr="002C3C7A">
        <w:rPr>
          <w:rFonts w:ascii="Times New Roman" w:hAnsi="Times New Roman" w:cs="Times New Roman"/>
          <w:sz w:val="24"/>
          <w:szCs w:val="24"/>
        </w:rPr>
        <w:t xml:space="preserve">he evolution of progress </w:t>
      </w:r>
      <w:r>
        <w:rPr>
          <w:rFonts w:ascii="Times New Roman" w:hAnsi="Times New Roman" w:cs="Times New Roman"/>
          <w:sz w:val="24"/>
          <w:szCs w:val="24"/>
        </w:rPr>
        <w:t xml:space="preserve">towards implementing each country-specific </w:t>
      </w:r>
      <w:r w:rsidR="00E729AF" w:rsidRPr="002C3C7A">
        <w:rPr>
          <w:rFonts w:ascii="Times New Roman" w:hAnsi="Times New Roman" w:cs="Times New Roman"/>
          <w:sz w:val="24"/>
          <w:szCs w:val="24"/>
        </w:rPr>
        <w:t xml:space="preserve">recommendation </w:t>
      </w:r>
      <w:r w:rsidRPr="0081475A">
        <w:rPr>
          <w:rFonts w:ascii="Times New Roman" w:hAnsi="Times New Roman" w:cs="Times New Roman"/>
          <w:sz w:val="24"/>
          <w:szCs w:val="24"/>
        </w:rPr>
        <w:t>can be seen most clearly by looking at the whole period since its adoption. T</w:t>
      </w:r>
      <w:r w:rsidR="00A06DC6">
        <w:rPr>
          <w:rFonts w:ascii="Times New Roman" w:hAnsi="Times New Roman" w:cs="Times New Roman"/>
          <w:sz w:val="24"/>
          <w:szCs w:val="24"/>
        </w:rPr>
        <w:t>h</w:t>
      </w:r>
      <w:r w:rsidRPr="001D759E">
        <w:rPr>
          <w:rFonts w:ascii="Times New Roman" w:hAnsi="Times New Roman" w:cs="Times New Roman"/>
          <w:sz w:val="24"/>
          <w:szCs w:val="24"/>
        </w:rPr>
        <w:t>e large majority of reforms</w:t>
      </w:r>
      <w:r>
        <w:rPr>
          <w:rFonts w:ascii="Times New Roman" w:hAnsi="Times New Roman" w:cs="Times New Roman"/>
          <w:sz w:val="24"/>
          <w:szCs w:val="24"/>
        </w:rPr>
        <w:t xml:space="preserve"> have seen </w:t>
      </w:r>
      <w:r w:rsidR="00A06DC6">
        <w:rPr>
          <w:rFonts w:ascii="Times New Roman" w:hAnsi="Times New Roman" w:cs="Times New Roman"/>
          <w:sz w:val="24"/>
          <w:szCs w:val="24"/>
        </w:rPr>
        <w:t>substantive progress</w:t>
      </w:r>
      <w:r w:rsidR="00E729AF" w:rsidRPr="002C3C7A">
        <w:rPr>
          <w:rFonts w:ascii="Times New Roman" w:hAnsi="Times New Roman" w:cs="Times New Roman"/>
          <w:sz w:val="24"/>
          <w:szCs w:val="24"/>
        </w:rPr>
        <w:t xml:space="preserve">, while the pace and depth </w:t>
      </w:r>
      <w:r w:rsidR="00A06DC6">
        <w:rPr>
          <w:rFonts w:ascii="Times New Roman" w:hAnsi="Times New Roman" w:cs="Times New Roman"/>
          <w:sz w:val="24"/>
          <w:szCs w:val="24"/>
        </w:rPr>
        <w:t xml:space="preserve">with which they have been </w:t>
      </w:r>
      <w:r w:rsidR="00E729AF" w:rsidRPr="002C3C7A">
        <w:rPr>
          <w:rFonts w:ascii="Times New Roman" w:hAnsi="Times New Roman" w:cs="Times New Roman"/>
          <w:sz w:val="24"/>
          <w:szCs w:val="24"/>
        </w:rPr>
        <w:t>implement</w:t>
      </w:r>
      <w:r w:rsidR="00A06DC6">
        <w:rPr>
          <w:rFonts w:ascii="Times New Roman" w:hAnsi="Times New Roman" w:cs="Times New Roman"/>
          <w:sz w:val="24"/>
          <w:szCs w:val="24"/>
        </w:rPr>
        <w:t xml:space="preserve">ed </w:t>
      </w:r>
      <w:r w:rsidR="00E729AF" w:rsidRPr="002C3C7A">
        <w:rPr>
          <w:rFonts w:ascii="Times New Roman" w:hAnsi="Times New Roman" w:cs="Times New Roman"/>
          <w:sz w:val="24"/>
          <w:szCs w:val="24"/>
        </w:rPr>
        <w:t xml:space="preserve">by Member States varies. </w:t>
      </w:r>
      <w:r w:rsidR="00A06DC6">
        <w:rPr>
          <w:rFonts w:ascii="Times New Roman" w:hAnsi="Times New Roman" w:cs="Times New Roman"/>
          <w:sz w:val="24"/>
          <w:szCs w:val="24"/>
        </w:rPr>
        <w:t>T</w:t>
      </w:r>
      <w:r w:rsidR="00E729AF" w:rsidRPr="002C3C7A">
        <w:rPr>
          <w:rFonts w:ascii="Times New Roman" w:hAnsi="Times New Roman" w:cs="Times New Roman"/>
          <w:sz w:val="24"/>
          <w:szCs w:val="24"/>
        </w:rPr>
        <w:t>o</w:t>
      </w:r>
      <w:r w:rsidR="007B7442">
        <w:rPr>
          <w:rFonts w:ascii="Times New Roman" w:hAnsi="Times New Roman" w:cs="Times New Roman"/>
          <w:sz w:val="24"/>
          <w:szCs w:val="24"/>
        </w:rPr>
        <w:t xml:space="preserve"> facilitate</w:t>
      </w:r>
      <w:r w:rsidR="00E729AF" w:rsidRPr="002C3C7A">
        <w:rPr>
          <w:rFonts w:ascii="Times New Roman" w:hAnsi="Times New Roman" w:cs="Times New Roman"/>
          <w:sz w:val="24"/>
          <w:szCs w:val="24"/>
        </w:rPr>
        <w:t xml:space="preserve"> </w:t>
      </w:r>
      <w:r w:rsidR="00A06DC6">
        <w:rPr>
          <w:rFonts w:ascii="Times New Roman" w:hAnsi="Times New Roman" w:cs="Times New Roman"/>
          <w:sz w:val="24"/>
          <w:szCs w:val="24"/>
        </w:rPr>
        <w:t xml:space="preserve">Member States’ </w:t>
      </w:r>
      <w:r w:rsidR="00E729AF" w:rsidRPr="002C3C7A">
        <w:rPr>
          <w:rFonts w:ascii="Times New Roman" w:hAnsi="Times New Roman" w:cs="Times New Roman"/>
          <w:sz w:val="24"/>
          <w:szCs w:val="24"/>
        </w:rPr>
        <w:t xml:space="preserve">ownership of reforms and contribute to </w:t>
      </w:r>
      <w:r w:rsidR="00A06DC6">
        <w:rPr>
          <w:rFonts w:ascii="Times New Roman" w:hAnsi="Times New Roman" w:cs="Times New Roman"/>
          <w:sz w:val="24"/>
          <w:szCs w:val="24"/>
        </w:rPr>
        <w:t xml:space="preserve">their </w:t>
      </w:r>
      <w:r w:rsidR="00C37BF1">
        <w:rPr>
          <w:rFonts w:ascii="Times New Roman" w:hAnsi="Times New Roman" w:cs="Times New Roman"/>
          <w:sz w:val="24"/>
          <w:szCs w:val="24"/>
        </w:rPr>
        <w:t>improved</w:t>
      </w:r>
      <w:r w:rsidR="00C37BF1" w:rsidRPr="002C3C7A">
        <w:rPr>
          <w:rFonts w:ascii="Times New Roman" w:hAnsi="Times New Roman" w:cs="Times New Roman"/>
          <w:sz w:val="24"/>
          <w:szCs w:val="24"/>
        </w:rPr>
        <w:t xml:space="preserve"> </w:t>
      </w:r>
      <w:r w:rsidR="00E729AF" w:rsidRPr="002C3C7A">
        <w:rPr>
          <w:rFonts w:ascii="Times New Roman" w:hAnsi="Times New Roman" w:cs="Times New Roman"/>
          <w:sz w:val="24"/>
          <w:szCs w:val="24"/>
        </w:rPr>
        <w:t xml:space="preserve">implementation, the </w:t>
      </w:r>
      <w:r w:rsidR="00E729AF" w:rsidRPr="002C3C7A">
        <w:rPr>
          <w:rFonts w:ascii="Times New Roman" w:hAnsi="Times New Roman" w:cs="Times New Roman"/>
          <w:sz w:val="24"/>
          <w:szCs w:val="24"/>
        </w:rPr>
        <w:lastRenderedPageBreak/>
        <w:t xml:space="preserve">Commission </w:t>
      </w:r>
      <w:r w:rsidR="00A06DC6">
        <w:rPr>
          <w:rFonts w:ascii="Times New Roman" w:hAnsi="Times New Roman" w:cs="Times New Roman"/>
          <w:sz w:val="24"/>
          <w:szCs w:val="24"/>
        </w:rPr>
        <w:t xml:space="preserve">has shifted </w:t>
      </w:r>
      <w:r w:rsidR="00E729AF" w:rsidRPr="002C3C7A">
        <w:rPr>
          <w:rFonts w:ascii="Times New Roman" w:hAnsi="Times New Roman" w:cs="Times New Roman"/>
          <w:sz w:val="24"/>
          <w:szCs w:val="24"/>
        </w:rPr>
        <w:t xml:space="preserve">focus </w:t>
      </w:r>
      <w:r w:rsidR="00A06DC6">
        <w:rPr>
          <w:rFonts w:ascii="Times New Roman" w:hAnsi="Times New Roman" w:cs="Times New Roman"/>
          <w:sz w:val="24"/>
          <w:szCs w:val="24"/>
        </w:rPr>
        <w:t xml:space="preserve">towards </w:t>
      </w:r>
      <w:r w:rsidR="00E729AF" w:rsidRPr="002C3C7A">
        <w:rPr>
          <w:rFonts w:ascii="Times New Roman" w:hAnsi="Times New Roman" w:cs="Times New Roman"/>
          <w:sz w:val="24"/>
          <w:szCs w:val="24"/>
        </w:rPr>
        <w:t>key priority issues of macro-economic and social relevance. Over recent</w:t>
      </w:r>
      <w:r w:rsidR="007B7442">
        <w:rPr>
          <w:rFonts w:ascii="Times New Roman" w:hAnsi="Times New Roman" w:cs="Times New Roman"/>
          <w:sz w:val="24"/>
          <w:szCs w:val="24"/>
        </w:rPr>
        <w:t xml:space="preserve"> cycles of the</w:t>
      </w:r>
      <w:r w:rsidR="00E729AF" w:rsidRPr="002C3C7A">
        <w:rPr>
          <w:rFonts w:ascii="Times New Roman" w:hAnsi="Times New Roman" w:cs="Times New Roman"/>
          <w:sz w:val="24"/>
          <w:szCs w:val="24"/>
        </w:rPr>
        <w:t xml:space="preserve"> European </w:t>
      </w:r>
      <w:r w:rsidR="00A06DC6">
        <w:rPr>
          <w:rFonts w:ascii="Times New Roman" w:hAnsi="Times New Roman" w:cs="Times New Roman"/>
          <w:sz w:val="24"/>
          <w:szCs w:val="24"/>
        </w:rPr>
        <w:t>S</w:t>
      </w:r>
      <w:r w:rsidR="00E729AF" w:rsidRPr="002C3C7A">
        <w:rPr>
          <w:rFonts w:ascii="Times New Roman" w:hAnsi="Times New Roman" w:cs="Times New Roman"/>
          <w:sz w:val="24"/>
          <w:szCs w:val="24"/>
        </w:rPr>
        <w:t>emester, recommendations have become more focused on reform steps that can be implemented within 12-18 months.</w:t>
      </w:r>
      <w:r w:rsidR="007B7442">
        <w:rPr>
          <w:rFonts w:ascii="Times New Roman" w:hAnsi="Times New Roman" w:cs="Times New Roman"/>
          <w:sz w:val="24"/>
          <w:szCs w:val="24"/>
        </w:rPr>
        <w:t xml:space="preserve"> While this is </w:t>
      </w:r>
      <w:r w:rsidR="00C37BF1">
        <w:rPr>
          <w:rFonts w:ascii="Times New Roman" w:hAnsi="Times New Roman" w:cs="Times New Roman"/>
          <w:sz w:val="24"/>
          <w:szCs w:val="24"/>
        </w:rPr>
        <w:t>important to produce</w:t>
      </w:r>
      <w:r w:rsidR="007B7442">
        <w:rPr>
          <w:rFonts w:ascii="Times New Roman" w:hAnsi="Times New Roman" w:cs="Times New Roman"/>
          <w:sz w:val="24"/>
          <w:szCs w:val="24"/>
        </w:rPr>
        <w:t xml:space="preserve"> momentum and initiate first steps, this timeframe is limit</w:t>
      </w:r>
      <w:r w:rsidR="00C37BF1">
        <w:rPr>
          <w:rFonts w:ascii="Times New Roman" w:hAnsi="Times New Roman" w:cs="Times New Roman"/>
          <w:sz w:val="24"/>
          <w:szCs w:val="24"/>
        </w:rPr>
        <w:t>ing</w:t>
      </w:r>
      <w:r w:rsidR="007B7442">
        <w:rPr>
          <w:rFonts w:ascii="Times New Roman" w:hAnsi="Times New Roman" w:cs="Times New Roman"/>
          <w:sz w:val="24"/>
          <w:szCs w:val="24"/>
        </w:rPr>
        <w:t xml:space="preserve"> for a true assessment:</w:t>
      </w:r>
      <w:r w:rsidR="00E729AF" w:rsidRPr="002C3C7A">
        <w:rPr>
          <w:rFonts w:ascii="Times New Roman" w:hAnsi="Times New Roman" w:cs="Times New Roman"/>
          <w:sz w:val="24"/>
          <w:szCs w:val="24"/>
        </w:rPr>
        <w:t xml:space="preserve"> </w:t>
      </w:r>
      <w:r w:rsidR="007B7442">
        <w:rPr>
          <w:rFonts w:ascii="Times New Roman" w:hAnsi="Times New Roman" w:cs="Times New Roman"/>
          <w:sz w:val="24"/>
          <w:szCs w:val="24"/>
        </w:rPr>
        <w:t>e</w:t>
      </w:r>
      <w:r w:rsidR="00E729AF" w:rsidRPr="002C3C7A">
        <w:rPr>
          <w:rFonts w:ascii="Times New Roman" w:hAnsi="Times New Roman" w:cs="Times New Roman"/>
          <w:sz w:val="24"/>
          <w:szCs w:val="24"/>
        </w:rPr>
        <w:t>xperience shows that reforms often happen incrementally over a longer period of time and their impact needs to be measured over several years.</w:t>
      </w:r>
      <w:r w:rsidR="00E729AF" w:rsidRPr="002C3C7A">
        <w:rPr>
          <w:rFonts w:ascii="Times New Roman" w:hAnsi="Times New Roman" w:cs="Times New Roman"/>
          <w:sz w:val="24"/>
          <w:szCs w:val="24"/>
          <w:lang w:eastAsia="en-GB"/>
        </w:rPr>
        <w:t xml:space="preserve"> </w:t>
      </w:r>
    </w:p>
    <w:p w:rsidR="00E729AF" w:rsidRPr="002C3C7A" w:rsidRDefault="00E729AF" w:rsidP="00991AC3">
      <w:pPr>
        <w:jc w:val="both"/>
        <w:rPr>
          <w:rFonts w:ascii="Times New Roman" w:hAnsi="Times New Roman" w:cs="Times New Roman"/>
          <w:sz w:val="24"/>
          <w:szCs w:val="24"/>
        </w:rPr>
      </w:pPr>
      <w:r w:rsidRPr="002C3C7A">
        <w:rPr>
          <w:rFonts w:ascii="Times New Roman" w:hAnsi="Times New Roman" w:cs="Times New Roman"/>
          <w:b/>
          <w:sz w:val="24"/>
          <w:szCs w:val="24"/>
        </w:rPr>
        <w:t xml:space="preserve">Around two thirds of the country-specific recommendations issued until 2016 have been implemented with at least </w:t>
      </w:r>
      <w:r w:rsidR="008C1AA4">
        <w:rPr>
          <w:rFonts w:ascii="Times New Roman" w:hAnsi="Times New Roman" w:cs="Times New Roman"/>
          <w:b/>
          <w:sz w:val="24"/>
          <w:szCs w:val="24"/>
        </w:rPr>
        <w:t>‘</w:t>
      </w:r>
      <w:r w:rsidRPr="002C3C7A">
        <w:rPr>
          <w:rFonts w:ascii="Times New Roman" w:hAnsi="Times New Roman" w:cs="Times New Roman"/>
          <w:b/>
          <w:sz w:val="24"/>
          <w:szCs w:val="24"/>
        </w:rPr>
        <w:t>some progress</w:t>
      </w:r>
      <w:r w:rsidR="008C1AA4">
        <w:rPr>
          <w:rFonts w:ascii="Times New Roman" w:hAnsi="Times New Roman" w:cs="Times New Roman"/>
          <w:b/>
          <w:sz w:val="24"/>
          <w:szCs w:val="24"/>
        </w:rPr>
        <w:t>’</w:t>
      </w:r>
      <w:r w:rsidRPr="002C3C7A">
        <w:rPr>
          <w:rFonts w:ascii="Times New Roman" w:hAnsi="Times New Roman" w:cs="Times New Roman"/>
          <w:b/>
          <w:sz w:val="24"/>
          <w:szCs w:val="24"/>
        </w:rPr>
        <w:t xml:space="preserve">. </w:t>
      </w:r>
      <w:r w:rsidRPr="002C3C7A">
        <w:rPr>
          <w:rFonts w:ascii="Times New Roman" w:hAnsi="Times New Roman" w:cs="Times New Roman"/>
          <w:sz w:val="24"/>
          <w:szCs w:val="24"/>
        </w:rPr>
        <w:t xml:space="preserve">Since 2011, the Council has annually issued a set of recommendations to each Member State. The targeted reforms are often far reaching and require time to prepare and implement in line with national practices. Governments, national parliaments, social partners, other stakeholders and individual citizens need to invest time, </w:t>
      </w:r>
      <w:r w:rsidR="008C1AA4">
        <w:rPr>
          <w:rFonts w:ascii="Times New Roman" w:hAnsi="Times New Roman" w:cs="Times New Roman"/>
          <w:sz w:val="24"/>
          <w:szCs w:val="24"/>
        </w:rPr>
        <w:t xml:space="preserve">hold </w:t>
      </w:r>
      <w:r w:rsidRPr="002C3C7A">
        <w:rPr>
          <w:rFonts w:ascii="Times New Roman" w:hAnsi="Times New Roman" w:cs="Times New Roman"/>
          <w:sz w:val="24"/>
          <w:szCs w:val="24"/>
        </w:rPr>
        <w:t>discussion</w:t>
      </w:r>
      <w:r w:rsidR="008C1AA4">
        <w:rPr>
          <w:rFonts w:ascii="Times New Roman" w:hAnsi="Times New Roman" w:cs="Times New Roman"/>
          <w:sz w:val="24"/>
          <w:szCs w:val="24"/>
        </w:rPr>
        <w:t>s</w:t>
      </w:r>
      <w:r w:rsidR="00A505A9">
        <w:rPr>
          <w:rFonts w:ascii="Times New Roman" w:hAnsi="Times New Roman" w:cs="Times New Roman"/>
          <w:sz w:val="24"/>
          <w:szCs w:val="24"/>
        </w:rPr>
        <w:t xml:space="preserve"> and</w:t>
      </w:r>
      <w:r w:rsidRPr="002C3C7A">
        <w:rPr>
          <w:rFonts w:ascii="Times New Roman" w:hAnsi="Times New Roman" w:cs="Times New Roman"/>
          <w:sz w:val="24"/>
          <w:szCs w:val="24"/>
        </w:rPr>
        <w:t xml:space="preserve"> </w:t>
      </w:r>
      <w:r w:rsidR="008C1AA4">
        <w:rPr>
          <w:rFonts w:ascii="Times New Roman" w:hAnsi="Times New Roman" w:cs="Times New Roman"/>
          <w:sz w:val="24"/>
          <w:szCs w:val="24"/>
        </w:rPr>
        <w:t xml:space="preserve">carry out </w:t>
      </w:r>
      <w:r w:rsidRPr="002C3C7A">
        <w:rPr>
          <w:rFonts w:ascii="Times New Roman" w:hAnsi="Times New Roman" w:cs="Times New Roman"/>
          <w:sz w:val="24"/>
          <w:szCs w:val="24"/>
        </w:rPr>
        <w:t xml:space="preserve">analysis to come to the best outcomes for the issues </w:t>
      </w:r>
      <w:r w:rsidR="00C37BF1">
        <w:rPr>
          <w:rFonts w:ascii="Times New Roman" w:hAnsi="Times New Roman" w:cs="Times New Roman"/>
          <w:sz w:val="24"/>
          <w:szCs w:val="24"/>
        </w:rPr>
        <w:t>addressed by</w:t>
      </w:r>
      <w:r w:rsidR="00C37BF1" w:rsidRPr="002C3C7A">
        <w:rPr>
          <w:rFonts w:ascii="Times New Roman" w:hAnsi="Times New Roman" w:cs="Times New Roman"/>
          <w:sz w:val="24"/>
          <w:szCs w:val="24"/>
        </w:rPr>
        <w:t xml:space="preserve"> </w:t>
      </w:r>
      <w:r w:rsidRPr="002C3C7A">
        <w:rPr>
          <w:rFonts w:ascii="Times New Roman" w:hAnsi="Times New Roman" w:cs="Times New Roman"/>
          <w:sz w:val="24"/>
          <w:szCs w:val="24"/>
        </w:rPr>
        <w:t>the recommendation</w:t>
      </w:r>
      <w:r w:rsidR="00A505A9">
        <w:rPr>
          <w:rFonts w:ascii="Times New Roman" w:hAnsi="Times New Roman" w:cs="Times New Roman"/>
          <w:sz w:val="24"/>
          <w:szCs w:val="24"/>
        </w:rPr>
        <w:t>s</w:t>
      </w:r>
      <w:r w:rsidRPr="002C3C7A">
        <w:rPr>
          <w:rFonts w:ascii="Times New Roman" w:hAnsi="Times New Roman" w:cs="Times New Roman"/>
          <w:sz w:val="24"/>
          <w:szCs w:val="24"/>
        </w:rPr>
        <w:t xml:space="preserve">. These </w:t>
      </w:r>
      <w:r w:rsidR="008C1AA4">
        <w:rPr>
          <w:rFonts w:ascii="Times New Roman" w:hAnsi="Times New Roman" w:cs="Times New Roman"/>
          <w:sz w:val="24"/>
          <w:szCs w:val="24"/>
        </w:rPr>
        <w:t xml:space="preserve">generally </w:t>
      </w:r>
      <w:r w:rsidRPr="002C3C7A">
        <w:rPr>
          <w:rFonts w:ascii="Times New Roman" w:hAnsi="Times New Roman" w:cs="Times New Roman"/>
          <w:sz w:val="24"/>
          <w:szCs w:val="24"/>
        </w:rPr>
        <w:t xml:space="preserve">require compromise solutions </w:t>
      </w:r>
      <w:r w:rsidR="008C1AA4">
        <w:rPr>
          <w:rFonts w:ascii="Times New Roman" w:hAnsi="Times New Roman" w:cs="Times New Roman"/>
          <w:sz w:val="24"/>
          <w:szCs w:val="24"/>
        </w:rPr>
        <w:t xml:space="preserve">that strike a balance between </w:t>
      </w:r>
      <w:r w:rsidRPr="002C3C7A">
        <w:rPr>
          <w:rFonts w:ascii="Times New Roman" w:hAnsi="Times New Roman" w:cs="Times New Roman"/>
          <w:sz w:val="24"/>
          <w:szCs w:val="24"/>
        </w:rPr>
        <w:t xml:space="preserve">different economic, social, institutional and political considerations. </w:t>
      </w:r>
    </w:p>
    <w:p w:rsidR="00E729AF" w:rsidRPr="002C3C7A" w:rsidRDefault="008C1AA4" w:rsidP="00991AC3">
      <w:pPr>
        <w:jc w:val="both"/>
        <w:rPr>
          <w:rFonts w:ascii="Times New Roman" w:hAnsi="Times New Roman" w:cs="Times New Roman"/>
          <w:sz w:val="24"/>
          <w:szCs w:val="24"/>
        </w:rPr>
      </w:pPr>
      <w:r>
        <w:rPr>
          <w:rFonts w:ascii="Times New Roman" w:hAnsi="Times New Roman" w:cs="Times New Roman"/>
          <w:b/>
          <w:sz w:val="24"/>
          <w:szCs w:val="24"/>
        </w:rPr>
        <w:t>P</w:t>
      </w:r>
      <w:r w:rsidR="00E729AF" w:rsidRPr="001342DD">
        <w:rPr>
          <w:rFonts w:ascii="Times New Roman" w:hAnsi="Times New Roman" w:cs="Times New Roman"/>
          <w:b/>
          <w:sz w:val="24"/>
          <w:szCs w:val="24"/>
        </w:rPr>
        <w:t>rogress in implementi</w:t>
      </w:r>
      <w:r>
        <w:rPr>
          <w:rFonts w:ascii="Times New Roman" w:hAnsi="Times New Roman" w:cs="Times New Roman"/>
          <w:b/>
          <w:sz w:val="24"/>
          <w:szCs w:val="24"/>
        </w:rPr>
        <w:t xml:space="preserve">ng the </w:t>
      </w:r>
      <w:r w:rsidR="00E729AF" w:rsidRPr="001342DD">
        <w:rPr>
          <w:rFonts w:ascii="Times New Roman" w:hAnsi="Times New Roman" w:cs="Times New Roman"/>
          <w:b/>
          <w:sz w:val="24"/>
          <w:szCs w:val="24"/>
        </w:rPr>
        <w:t>recommendations</w:t>
      </w:r>
      <w:r>
        <w:rPr>
          <w:rFonts w:ascii="Times New Roman" w:hAnsi="Times New Roman" w:cs="Times New Roman"/>
          <w:b/>
          <w:sz w:val="24"/>
          <w:szCs w:val="24"/>
        </w:rPr>
        <w:t xml:space="preserve"> from previous years is considerably greater than for those </w:t>
      </w:r>
      <w:r w:rsidR="00E729AF" w:rsidRPr="001342DD">
        <w:rPr>
          <w:rFonts w:ascii="Times New Roman" w:hAnsi="Times New Roman" w:cs="Times New Roman"/>
          <w:b/>
          <w:sz w:val="24"/>
          <w:szCs w:val="24"/>
        </w:rPr>
        <w:t>made less than one year ago</w:t>
      </w:r>
      <w:r w:rsidR="00E729AF" w:rsidRPr="002C3C7A">
        <w:rPr>
          <w:rFonts w:ascii="Times New Roman" w:hAnsi="Times New Roman" w:cs="Times New Roman"/>
          <w:sz w:val="24"/>
          <w:szCs w:val="24"/>
        </w:rPr>
        <w:t>. This confirms that</w:t>
      </w:r>
      <w:r>
        <w:rPr>
          <w:rFonts w:ascii="Times New Roman" w:hAnsi="Times New Roman" w:cs="Times New Roman"/>
          <w:sz w:val="24"/>
          <w:szCs w:val="24"/>
        </w:rPr>
        <w:t xml:space="preserve"> implementing</w:t>
      </w:r>
      <w:r w:rsidR="00E729AF" w:rsidRPr="002C3C7A">
        <w:rPr>
          <w:rFonts w:ascii="Times New Roman" w:hAnsi="Times New Roman" w:cs="Times New Roman"/>
          <w:sz w:val="24"/>
          <w:szCs w:val="24"/>
        </w:rPr>
        <w:t xml:space="preserve"> reform</w:t>
      </w:r>
      <w:r w:rsidR="00F80AE6">
        <w:rPr>
          <w:rFonts w:ascii="Times New Roman" w:hAnsi="Times New Roman" w:cs="Times New Roman"/>
          <w:sz w:val="24"/>
          <w:szCs w:val="24"/>
        </w:rPr>
        <w:t>s</w:t>
      </w:r>
      <w:r w:rsidR="00E729AF" w:rsidRPr="002C3C7A">
        <w:rPr>
          <w:rFonts w:ascii="Times New Roman" w:hAnsi="Times New Roman" w:cs="Times New Roman"/>
          <w:sz w:val="24"/>
          <w:szCs w:val="24"/>
        </w:rPr>
        <w:t xml:space="preserve"> takes time and that it is important to assess the process </w:t>
      </w:r>
      <w:r w:rsidR="00F80AE6">
        <w:rPr>
          <w:rFonts w:ascii="Times New Roman" w:hAnsi="Times New Roman" w:cs="Times New Roman"/>
          <w:sz w:val="24"/>
          <w:szCs w:val="24"/>
        </w:rPr>
        <w:t>over the</w:t>
      </w:r>
      <w:r w:rsidR="00E729AF" w:rsidRPr="002C3C7A">
        <w:rPr>
          <w:rFonts w:ascii="Times New Roman" w:hAnsi="Times New Roman" w:cs="Times New Roman"/>
          <w:sz w:val="24"/>
          <w:szCs w:val="24"/>
        </w:rPr>
        <w:t xml:space="preserve"> medium</w:t>
      </w:r>
      <w:r w:rsidR="00F80AE6">
        <w:rPr>
          <w:rFonts w:ascii="Times New Roman" w:hAnsi="Times New Roman" w:cs="Times New Roman"/>
          <w:sz w:val="24"/>
          <w:szCs w:val="24"/>
        </w:rPr>
        <w:t xml:space="preserve"> </w:t>
      </w:r>
      <w:r w:rsidR="00E729AF" w:rsidRPr="002C3C7A">
        <w:rPr>
          <w:rFonts w:ascii="Times New Roman" w:hAnsi="Times New Roman" w:cs="Times New Roman"/>
          <w:sz w:val="24"/>
          <w:szCs w:val="24"/>
        </w:rPr>
        <w:t>term</w:t>
      </w:r>
      <w:r w:rsidR="00F80AE6">
        <w:rPr>
          <w:rFonts w:ascii="Times New Roman" w:hAnsi="Times New Roman" w:cs="Times New Roman"/>
          <w:sz w:val="24"/>
          <w:szCs w:val="24"/>
        </w:rPr>
        <w:t xml:space="preserve"> and not only </w:t>
      </w:r>
      <w:r w:rsidR="00C37BF1">
        <w:rPr>
          <w:rFonts w:ascii="Times New Roman" w:hAnsi="Times New Roman" w:cs="Times New Roman"/>
          <w:sz w:val="24"/>
          <w:szCs w:val="24"/>
        </w:rPr>
        <w:t xml:space="preserve">the </w:t>
      </w:r>
      <w:r w:rsidR="00F80AE6">
        <w:rPr>
          <w:rFonts w:ascii="Times New Roman" w:hAnsi="Times New Roman" w:cs="Times New Roman"/>
          <w:sz w:val="24"/>
          <w:szCs w:val="24"/>
        </w:rPr>
        <w:t>short term perspective</w:t>
      </w:r>
      <w:r w:rsidR="00E729AF" w:rsidRPr="002C3C7A">
        <w:rPr>
          <w:rFonts w:ascii="Times New Roman" w:hAnsi="Times New Roman" w:cs="Times New Roman"/>
          <w:sz w:val="24"/>
          <w:szCs w:val="24"/>
        </w:rPr>
        <w:t xml:space="preserve">. From a multiannual perspective, reform progress has been </w:t>
      </w:r>
      <w:r w:rsidR="00F80AE6">
        <w:rPr>
          <w:rFonts w:ascii="Times New Roman" w:hAnsi="Times New Roman" w:cs="Times New Roman"/>
          <w:sz w:val="24"/>
          <w:szCs w:val="24"/>
        </w:rPr>
        <w:t xml:space="preserve">greatest </w:t>
      </w:r>
      <w:r w:rsidR="00E729AF" w:rsidRPr="002C3C7A">
        <w:rPr>
          <w:rFonts w:ascii="Times New Roman" w:hAnsi="Times New Roman" w:cs="Times New Roman"/>
          <w:sz w:val="24"/>
          <w:szCs w:val="24"/>
        </w:rPr>
        <w:t xml:space="preserve">in the policy areas that concern fiscal policy and fiscal governance </w:t>
      </w:r>
      <w:r w:rsidR="00C37BF1">
        <w:rPr>
          <w:rFonts w:ascii="Times New Roman" w:hAnsi="Times New Roman" w:cs="Times New Roman"/>
          <w:sz w:val="24"/>
          <w:szCs w:val="24"/>
        </w:rPr>
        <w:t>and</w:t>
      </w:r>
      <w:r w:rsidR="00E729AF" w:rsidRPr="002C3C7A">
        <w:rPr>
          <w:rFonts w:ascii="Times New Roman" w:hAnsi="Times New Roman" w:cs="Times New Roman"/>
          <w:sz w:val="24"/>
          <w:szCs w:val="24"/>
        </w:rPr>
        <w:t xml:space="preserve"> in financial services. This </w:t>
      </w:r>
      <w:r w:rsidR="00F52633">
        <w:rPr>
          <w:rFonts w:ascii="Times New Roman" w:hAnsi="Times New Roman" w:cs="Times New Roman"/>
          <w:sz w:val="24"/>
          <w:szCs w:val="24"/>
        </w:rPr>
        <w:t>largely reflects the efforts made in</w:t>
      </w:r>
      <w:r w:rsidR="00E729AF" w:rsidRPr="002C3C7A">
        <w:rPr>
          <w:rFonts w:ascii="Times New Roman" w:hAnsi="Times New Roman" w:cs="Times New Roman"/>
          <w:sz w:val="24"/>
          <w:szCs w:val="24"/>
        </w:rPr>
        <w:t xml:space="preserve"> overcoming the economic and financial crisis, as the high debt and deficit levels had to be addressed and the financial sector stabilised. Significant measures have been taken in many countries to improve the sustainability of pension systems. Areas in which progress has been slower </w:t>
      </w:r>
      <w:r w:rsidR="00F80AE6">
        <w:rPr>
          <w:rFonts w:ascii="Times New Roman" w:hAnsi="Times New Roman" w:cs="Times New Roman"/>
          <w:sz w:val="24"/>
          <w:szCs w:val="24"/>
        </w:rPr>
        <w:t>are</w:t>
      </w:r>
      <w:r w:rsidR="00E729AF" w:rsidRPr="002C3C7A">
        <w:rPr>
          <w:rFonts w:ascii="Times New Roman" w:hAnsi="Times New Roman" w:cs="Times New Roman"/>
          <w:sz w:val="24"/>
          <w:szCs w:val="24"/>
        </w:rPr>
        <w:t xml:space="preserve"> health and long-term care, broadening the tax base</w:t>
      </w:r>
      <w:r w:rsidR="00B65BF7">
        <w:rPr>
          <w:rFonts w:ascii="Times New Roman" w:hAnsi="Times New Roman" w:cs="Times New Roman"/>
          <w:sz w:val="24"/>
          <w:szCs w:val="24"/>
        </w:rPr>
        <w:t>, improving the business environment, access to finance</w:t>
      </w:r>
      <w:r w:rsidR="00E729AF" w:rsidRPr="002C3C7A">
        <w:rPr>
          <w:rFonts w:ascii="Times New Roman" w:hAnsi="Times New Roman" w:cs="Times New Roman"/>
          <w:sz w:val="24"/>
          <w:szCs w:val="24"/>
        </w:rPr>
        <w:t xml:space="preserve"> and competition in services. </w:t>
      </w:r>
      <w:r w:rsidR="00541437">
        <w:rPr>
          <w:rFonts w:ascii="Times New Roman" w:hAnsi="Times New Roman" w:cs="Times New Roman"/>
          <w:sz w:val="24"/>
          <w:szCs w:val="24"/>
        </w:rPr>
        <w:t>Some of t</w:t>
      </w:r>
      <w:r w:rsidR="00E729AF" w:rsidRPr="002C3C7A">
        <w:rPr>
          <w:rFonts w:ascii="Times New Roman" w:hAnsi="Times New Roman" w:cs="Times New Roman"/>
          <w:sz w:val="24"/>
          <w:szCs w:val="24"/>
        </w:rPr>
        <w:t xml:space="preserve">hese are longer-term priorities that will become more pressing due to </w:t>
      </w:r>
      <w:r w:rsidR="00783233">
        <w:rPr>
          <w:rFonts w:ascii="Times New Roman" w:hAnsi="Times New Roman" w:cs="Times New Roman"/>
          <w:sz w:val="24"/>
          <w:szCs w:val="24"/>
        </w:rPr>
        <w:t xml:space="preserve">increasing </w:t>
      </w:r>
      <w:r w:rsidR="00E729AF" w:rsidRPr="002C3C7A">
        <w:rPr>
          <w:rFonts w:ascii="Times New Roman" w:hAnsi="Times New Roman" w:cs="Times New Roman"/>
          <w:sz w:val="24"/>
          <w:szCs w:val="24"/>
        </w:rPr>
        <w:t>demographic challenges</w:t>
      </w:r>
      <w:r w:rsidR="00541437">
        <w:rPr>
          <w:rFonts w:ascii="Times New Roman" w:hAnsi="Times New Roman" w:cs="Times New Roman"/>
          <w:sz w:val="24"/>
          <w:szCs w:val="24"/>
        </w:rPr>
        <w:t xml:space="preserve"> and </w:t>
      </w:r>
      <w:r w:rsidR="00C37BF1">
        <w:rPr>
          <w:rFonts w:ascii="Times New Roman" w:hAnsi="Times New Roman" w:cs="Times New Roman"/>
          <w:sz w:val="24"/>
          <w:szCs w:val="24"/>
        </w:rPr>
        <w:t>c</w:t>
      </w:r>
      <w:r w:rsidR="00541437">
        <w:rPr>
          <w:rFonts w:ascii="Times New Roman" w:hAnsi="Times New Roman" w:cs="Times New Roman"/>
          <w:sz w:val="24"/>
          <w:szCs w:val="24"/>
        </w:rPr>
        <w:t xml:space="preserve">ould be heightened if growth remains </w:t>
      </w:r>
      <w:r w:rsidR="00F52633">
        <w:rPr>
          <w:rFonts w:ascii="Times New Roman" w:hAnsi="Times New Roman" w:cs="Times New Roman"/>
          <w:sz w:val="24"/>
          <w:szCs w:val="24"/>
        </w:rPr>
        <w:t>moderate</w:t>
      </w:r>
      <w:r w:rsidR="00E729AF" w:rsidRPr="002C3C7A">
        <w:rPr>
          <w:rFonts w:ascii="Times New Roman" w:hAnsi="Times New Roman" w:cs="Times New Roman"/>
          <w:sz w:val="24"/>
          <w:szCs w:val="24"/>
        </w:rPr>
        <w:t>.</w:t>
      </w:r>
      <w:r w:rsidR="00035B6B">
        <w:rPr>
          <w:rFonts w:ascii="Times New Roman" w:hAnsi="Times New Roman" w:cs="Times New Roman"/>
          <w:sz w:val="24"/>
          <w:szCs w:val="24"/>
        </w:rPr>
        <w:t xml:space="preserve"> </w:t>
      </w:r>
      <w:r w:rsidR="00035B6B" w:rsidRPr="00035B6B">
        <w:rPr>
          <w:rFonts w:ascii="Times New Roman" w:hAnsi="Times New Roman" w:cs="Times New Roman"/>
          <w:sz w:val="24"/>
          <w:szCs w:val="24"/>
        </w:rPr>
        <w:t>Since the start of the European Semester</w:t>
      </w:r>
      <w:r w:rsidR="00F52633">
        <w:rPr>
          <w:rFonts w:ascii="Times New Roman" w:hAnsi="Times New Roman" w:cs="Times New Roman"/>
          <w:sz w:val="24"/>
          <w:szCs w:val="24"/>
        </w:rPr>
        <w:t xml:space="preserve"> in 2011</w:t>
      </w:r>
      <w:r w:rsidR="00035B6B" w:rsidRPr="00035B6B">
        <w:rPr>
          <w:rFonts w:ascii="Times New Roman" w:hAnsi="Times New Roman" w:cs="Times New Roman"/>
          <w:sz w:val="24"/>
          <w:szCs w:val="24"/>
        </w:rPr>
        <w:t>, the pace of progress - as assessed one year after the adoption of the recommendations - has been slightly decreasing</w:t>
      </w:r>
      <w:r w:rsidR="009C6AD6">
        <w:rPr>
          <w:rFonts w:ascii="Times New Roman" w:hAnsi="Times New Roman" w:cs="Times New Roman"/>
          <w:sz w:val="24"/>
          <w:szCs w:val="24"/>
        </w:rPr>
        <w:t xml:space="preserve">. This might partly be because politically easier reforms were done first and </w:t>
      </w:r>
      <w:r w:rsidR="00C37BF1">
        <w:rPr>
          <w:rFonts w:ascii="Times New Roman" w:hAnsi="Times New Roman" w:cs="Times New Roman"/>
          <w:sz w:val="24"/>
          <w:szCs w:val="24"/>
        </w:rPr>
        <w:t xml:space="preserve">because of </w:t>
      </w:r>
      <w:r w:rsidR="009C6AD6">
        <w:rPr>
          <w:rFonts w:ascii="Times New Roman" w:hAnsi="Times New Roman" w:cs="Times New Roman"/>
          <w:sz w:val="24"/>
          <w:szCs w:val="24"/>
        </w:rPr>
        <w:t>the greater sense of urgency during the crisis</w:t>
      </w:r>
      <w:r w:rsidR="00035B6B" w:rsidRPr="00035B6B">
        <w:rPr>
          <w:rFonts w:ascii="Times New Roman" w:hAnsi="Times New Roman" w:cs="Times New Roman"/>
          <w:sz w:val="24"/>
          <w:szCs w:val="24"/>
        </w:rPr>
        <w:t>. Yet, this trend has been halted with the implementation of the 2016 country-specific recommendations</w:t>
      </w:r>
      <w:r w:rsidR="00C37BF1">
        <w:rPr>
          <w:rFonts w:ascii="Times New Roman" w:hAnsi="Times New Roman" w:cs="Times New Roman"/>
          <w:sz w:val="24"/>
          <w:szCs w:val="24"/>
        </w:rPr>
        <w:t>.</w:t>
      </w:r>
    </w:p>
    <w:p w:rsidR="00E729AF" w:rsidRPr="002C3C7A" w:rsidRDefault="00E729AF" w:rsidP="00991AC3">
      <w:pPr>
        <w:jc w:val="both"/>
        <w:rPr>
          <w:rFonts w:ascii="Times New Roman" w:hAnsi="Times New Roman" w:cs="Times New Roman"/>
          <w:sz w:val="24"/>
          <w:szCs w:val="24"/>
        </w:rPr>
      </w:pPr>
    </w:p>
    <w:p w:rsidR="00E729AF" w:rsidRPr="00FF6A88" w:rsidRDefault="00E729AF" w:rsidP="00991AC3">
      <w:pPr>
        <w:keepNext/>
        <w:jc w:val="both"/>
        <w:rPr>
          <w:rFonts w:ascii="Times New Roman" w:hAnsi="Times New Roman" w:cs="Times New Roman"/>
          <w:b/>
          <w:sz w:val="20"/>
          <w:szCs w:val="24"/>
        </w:rPr>
      </w:pPr>
      <w:r w:rsidRPr="00FF6A88">
        <w:rPr>
          <w:rFonts w:ascii="Times New Roman" w:hAnsi="Times New Roman" w:cs="Times New Roman"/>
          <w:i/>
          <w:sz w:val="20"/>
          <w:szCs w:val="24"/>
        </w:rPr>
        <w:lastRenderedPageBreak/>
        <w:t xml:space="preserve">Figure 1: </w:t>
      </w:r>
      <w:r w:rsidR="00F52633" w:rsidRPr="00FF6A88">
        <w:rPr>
          <w:rFonts w:ascii="Times New Roman" w:hAnsi="Times New Roman" w:cs="Times New Roman"/>
          <w:i/>
          <w:sz w:val="20"/>
          <w:szCs w:val="24"/>
        </w:rPr>
        <w:t>I</w:t>
      </w:r>
      <w:r w:rsidR="00A505A9" w:rsidRPr="00FF6A88">
        <w:rPr>
          <w:rFonts w:ascii="Times New Roman" w:hAnsi="Times New Roman" w:cs="Times New Roman"/>
          <w:i/>
          <w:sz w:val="20"/>
          <w:szCs w:val="24"/>
        </w:rPr>
        <w:t>mplementation of country-specific recommendations</w:t>
      </w:r>
      <w:r w:rsidR="00FB5401" w:rsidRPr="00FF6A88">
        <w:rPr>
          <w:rFonts w:ascii="Times New Roman" w:hAnsi="Times New Roman" w:cs="Times New Roman"/>
          <w:i/>
          <w:sz w:val="20"/>
          <w:szCs w:val="24"/>
        </w:rPr>
        <w:t>:</w:t>
      </w:r>
      <w:r w:rsidR="00F52633" w:rsidRPr="00FF6A88">
        <w:rPr>
          <w:rFonts w:ascii="Times New Roman" w:hAnsi="Times New Roman" w:cs="Times New Roman"/>
          <w:i/>
          <w:sz w:val="20"/>
          <w:szCs w:val="24"/>
        </w:rPr>
        <w:t xml:space="preserve"> </w:t>
      </w:r>
      <w:r w:rsidRPr="00FF6A88">
        <w:rPr>
          <w:rFonts w:ascii="Times New Roman" w:hAnsi="Times New Roman" w:cs="Times New Roman"/>
          <w:i/>
          <w:sz w:val="20"/>
          <w:szCs w:val="24"/>
        </w:rPr>
        <w:t xml:space="preserve">yearly assessment </w:t>
      </w:r>
      <w:r w:rsidR="00FB5401" w:rsidRPr="00FF6A88">
        <w:rPr>
          <w:rFonts w:ascii="Times New Roman" w:hAnsi="Times New Roman" w:cs="Times New Roman"/>
          <w:i/>
          <w:sz w:val="20"/>
          <w:szCs w:val="24"/>
        </w:rPr>
        <w:t xml:space="preserve">in each consecutive year since 2011 </w:t>
      </w:r>
    </w:p>
    <w:p w:rsidR="00D6007F" w:rsidRDefault="00FB5401" w:rsidP="00FB5401">
      <w:pPr>
        <w:keepNext/>
        <w:jc w:val="center"/>
        <w:rPr>
          <w:rFonts w:ascii="Times New Roman" w:hAnsi="Times New Roman" w:cs="Times New Roman"/>
          <w:b/>
          <w:sz w:val="24"/>
          <w:szCs w:val="24"/>
        </w:rPr>
      </w:pPr>
      <w:r>
        <w:rPr>
          <w:noProof/>
          <w:lang w:eastAsia="en-GB"/>
        </w:rPr>
        <w:drawing>
          <wp:inline distT="0" distB="0" distL="0" distR="0" wp14:anchorId="72008159" wp14:editId="186F1FD5">
            <wp:extent cx="5724940" cy="257020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3296" cy="2569464"/>
                    </a:xfrm>
                    <a:prstGeom prst="rect">
                      <a:avLst/>
                    </a:prstGeom>
                    <a:noFill/>
                    <a:ln>
                      <a:noFill/>
                    </a:ln>
                  </pic:spPr>
                </pic:pic>
              </a:graphicData>
            </a:graphic>
          </wp:inline>
        </w:drawing>
      </w:r>
    </w:p>
    <w:p w:rsidR="00FB5401" w:rsidRPr="00FF6A88" w:rsidRDefault="00FB5401" w:rsidP="00FB5401">
      <w:pPr>
        <w:keepNext/>
        <w:jc w:val="both"/>
        <w:rPr>
          <w:rFonts w:ascii="Times New Roman" w:hAnsi="Times New Roman" w:cs="Times New Roman"/>
          <w:b/>
          <w:sz w:val="20"/>
          <w:szCs w:val="20"/>
        </w:rPr>
      </w:pPr>
      <w:r w:rsidRPr="00FF6A88">
        <w:rPr>
          <w:rFonts w:ascii="Times New Roman" w:hAnsi="Times New Roman" w:cs="Times New Roman"/>
          <w:i/>
          <w:sz w:val="20"/>
          <w:szCs w:val="20"/>
        </w:rPr>
        <w:t xml:space="preserve">Figure 2: </w:t>
      </w:r>
      <w:r w:rsidR="00FF6A88" w:rsidRPr="00FF6A88">
        <w:rPr>
          <w:rFonts w:ascii="Times New Roman" w:hAnsi="Times New Roman" w:cs="Times New Roman"/>
          <w:i/>
          <w:sz w:val="20"/>
          <w:szCs w:val="20"/>
        </w:rPr>
        <w:t>Overall implementation of 2011-2016 CSRs to date (multiannual assessment)</w:t>
      </w:r>
    </w:p>
    <w:p w:rsidR="00FB5401" w:rsidRPr="002C3C7A" w:rsidRDefault="00FB5401" w:rsidP="00FB5401">
      <w:pPr>
        <w:keepNext/>
        <w:jc w:val="center"/>
        <w:rPr>
          <w:rFonts w:ascii="Times New Roman" w:hAnsi="Times New Roman" w:cs="Times New Roman"/>
          <w:b/>
          <w:sz w:val="24"/>
          <w:szCs w:val="24"/>
        </w:rPr>
      </w:pPr>
    </w:p>
    <w:p w:rsidR="00E729AF" w:rsidRPr="002C3C7A" w:rsidRDefault="00FB5401" w:rsidP="00991AC3">
      <w:pPr>
        <w:jc w:val="both"/>
        <w:rPr>
          <w:rFonts w:ascii="Times New Roman" w:hAnsi="Times New Roman" w:cs="Times New Roman"/>
          <w:i/>
          <w:sz w:val="24"/>
          <w:szCs w:val="24"/>
        </w:rPr>
      </w:pPr>
      <w:r>
        <w:rPr>
          <w:noProof/>
          <w:lang w:eastAsia="en-GB"/>
        </w:rPr>
        <w:drawing>
          <wp:inline distT="0" distB="0" distL="0" distR="0" wp14:anchorId="7A24E273" wp14:editId="74105F31">
            <wp:extent cx="5274310" cy="3332569"/>
            <wp:effectExtent l="0" t="0" r="254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729AF" w:rsidRPr="002C3C7A" w:rsidRDefault="00E729AF" w:rsidP="00991AC3">
      <w:pPr>
        <w:spacing w:before="100" w:beforeAutospacing="1" w:after="100" w:afterAutospacing="1"/>
        <w:jc w:val="both"/>
        <w:rPr>
          <w:rFonts w:ascii="Times New Roman" w:hAnsi="Times New Roman" w:cs="Times New Roman"/>
          <w:sz w:val="24"/>
          <w:szCs w:val="24"/>
        </w:rPr>
      </w:pPr>
      <w:r w:rsidRPr="002C3C7A">
        <w:rPr>
          <w:rFonts w:ascii="Times New Roman" w:hAnsi="Times New Roman" w:cs="Times New Roman"/>
          <w:b/>
          <w:sz w:val="24"/>
          <w:szCs w:val="24"/>
        </w:rPr>
        <w:t>Since the adoption of last year</w:t>
      </w:r>
      <w:r w:rsidR="007240A2">
        <w:rPr>
          <w:rFonts w:ascii="Times New Roman" w:hAnsi="Times New Roman" w:cs="Times New Roman"/>
          <w:b/>
          <w:sz w:val="24"/>
          <w:szCs w:val="24"/>
        </w:rPr>
        <w:t>’</w:t>
      </w:r>
      <w:r w:rsidRPr="002C3C7A">
        <w:rPr>
          <w:rFonts w:ascii="Times New Roman" w:hAnsi="Times New Roman" w:cs="Times New Roman"/>
          <w:b/>
          <w:sz w:val="24"/>
          <w:szCs w:val="24"/>
        </w:rPr>
        <w:t xml:space="preserve">s country-specific recommendations, Member States </w:t>
      </w:r>
      <w:r w:rsidR="007240A2">
        <w:rPr>
          <w:rFonts w:ascii="Times New Roman" w:hAnsi="Times New Roman" w:cs="Times New Roman"/>
          <w:b/>
          <w:sz w:val="24"/>
          <w:szCs w:val="24"/>
        </w:rPr>
        <w:t xml:space="preserve">have </w:t>
      </w:r>
      <w:r w:rsidRPr="002C3C7A">
        <w:rPr>
          <w:rFonts w:ascii="Times New Roman" w:hAnsi="Times New Roman" w:cs="Times New Roman"/>
          <w:b/>
          <w:sz w:val="24"/>
          <w:szCs w:val="24"/>
        </w:rPr>
        <w:t>made most significant progress in the area</w:t>
      </w:r>
      <w:r w:rsidR="00A505A9">
        <w:rPr>
          <w:rFonts w:ascii="Times New Roman" w:hAnsi="Times New Roman" w:cs="Times New Roman"/>
          <w:b/>
          <w:sz w:val="24"/>
          <w:szCs w:val="24"/>
        </w:rPr>
        <w:t>s</w:t>
      </w:r>
      <w:r w:rsidRPr="002C3C7A">
        <w:rPr>
          <w:rFonts w:ascii="Times New Roman" w:hAnsi="Times New Roman" w:cs="Times New Roman"/>
          <w:b/>
          <w:sz w:val="24"/>
          <w:szCs w:val="24"/>
        </w:rPr>
        <w:t xml:space="preserve"> of </w:t>
      </w:r>
      <w:r w:rsidR="00035B6B">
        <w:rPr>
          <w:rFonts w:ascii="Times New Roman" w:hAnsi="Times New Roman" w:cs="Times New Roman"/>
          <w:b/>
          <w:sz w:val="24"/>
          <w:szCs w:val="24"/>
        </w:rPr>
        <w:t xml:space="preserve">fiscal policy and fiscal governance, as well as in </w:t>
      </w:r>
      <w:r w:rsidRPr="00F57E6F">
        <w:rPr>
          <w:rFonts w:ascii="Times New Roman" w:hAnsi="Times New Roman" w:cs="Times New Roman"/>
          <w:b/>
          <w:sz w:val="24"/>
          <w:szCs w:val="24"/>
        </w:rPr>
        <w:t>active labour market policies</w:t>
      </w:r>
      <w:r w:rsidR="00035B6B">
        <w:rPr>
          <w:rFonts w:ascii="Times New Roman" w:hAnsi="Times New Roman" w:cs="Times New Roman"/>
          <w:b/>
          <w:sz w:val="24"/>
          <w:szCs w:val="24"/>
        </w:rPr>
        <w:t>.</w:t>
      </w:r>
      <w:r w:rsidRPr="002C3C7A">
        <w:rPr>
          <w:rFonts w:ascii="Times New Roman" w:hAnsi="Times New Roman" w:cs="Times New Roman"/>
          <w:sz w:val="24"/>
          <w:szCs w:val="24"/>
        </w:rPr>
        <w:t xml:space="preserve"> </w:t>
      </w:r>
      <w:r w:rsidR="007240A2">
        <w:rPr>
          <w:rFonts w:ascii="Times New Roman" w:hAnsi="Times New Roman" w:cs="Times New Roman"/>
          <w:sz w:val="24"/>
          <w:szCs w:val="24"/>
        </w:rPr>
        <w:t>S</w:t>
      </w:r>
      <w:r w:rsidRPr="002C3C7A">
        <w:rPr>
          <w:rFonts w:ascii="Times New Roman" w:hAnsi="Times New Roman" w:cs="Times New Roman"/>
          <w:sz w:val="24"/>
          <w:szCs w:val="24"/>
        </w:rPr>
        <w:t xml:space="preserve">teps have been taken in taxation policies (reducing the tax burden on labour), the labour market and social policies </w:t>
      </w:r>
      <w:r w:rsidR="007240A2">
        <w:rPr>
          <w:rFonts w:ascii="Times New Roman" w:hAnsi="Times New Roman" w:cs="Times New Roman"/>
          <w:sz w:val="24"/>
          <w:szCs w:val="24"/>
        </w:rPr>
        <w:t>(</w:t>
      </w:r>
      <w:r w:rsidRPr="002C3C7A">
        <w:rPr>
          <w:rFonts w:ascii="Times New Roman" w:hAnsi="Times New Roman" w:cs="Times New Roman"/>
          <w:sz w:val="24"/>
          <w:szCs w:val="24"/>
        </w:rPr>
        <w:t xml:space="preserve">notably </w:t>
      </w:r>
      <w:r w:rsidR="00035B6B">
        <w:rPr>
          <w:rFonts w:ascii="Times New Roman" w:hAnsi="Times New Roman" w:cs="Times New Roman"/>
          <w:sz w:val="24"/>
          <w:szCs w:val="24"/>
        </w:rPr>
        <w:t>poverty reduction, social inclusion</w:t>
      </w:r>
      <w:r w:rsidRPr="002C3C7A">
        <w:rPr>
          <w:rFonts w:ascii="Times New Roman" w:hAnsi="Times New Roman" w:cs="Times New Roman"/>
          <w:sz w:val="24"/>
          <w:szCs w:val="24"/>
        </w:rPr>
        <w:t xml:space="preserve"> and childcare</w:t>
      </w:r>
      <w:r w:rsidR="007240A2">
        <w:rPr>
          <w:rFonts w:ascii="Times New Roman" w:hAnsi="Times New Roman" w:cs="Times New Roman"/>
          <w:sz w:val="24"/>
          <w:szCs w:val="24"/>
        </w:rPr>
        <w:t>)</w:t>
      </w:r>
      <w:r w:rsidRPr="002C3C7A">
        <w:rPr>
          <w:rFonts w:ascii="Times New Roman" w:hAnsi="Times New Roman" w:cs="Times New Roman"/>
          <w:sz w:val="24"/>
          <w:szCs w:val="24"/>
        </w:rPr>
        <w:t xml:space="preserve"> and financial services. The areas </w:t>
      </w:r>
      <w:r w:rsidR="00824510">
        <w:rPr>
          <w:rFonts w:ascii="Times New Roman" w:hAnsi="Times New Roman" w:cs="Times New Roman"/>
          <w:sz w:val="24"/>
          <w:szCs w:val="24"/>
        </w:rPr>
        <w:t xml:space="preserve">showing </w:t>
      </w:r>
      <w:r w:rsidRPr="002C3C7A">
        <w:rPr>
          <w:rFonts w:ascii="Times New Roman" w:hAnsi="Times New Roman" w:cs="Times New Roman"/>
          <w:sz w:val="24"/>
          <w:szCs w:val="24"/>
        </w:rPr>
        <w:t xml:space="preserve">least progress include the long-term sustainability of public finances, competition in services </w:t>
      </w:r>
      <w:r w:rsidR="00035B6B">
        <w:rPr>
          <w:rFonts w:ascii="Times New Roman" w:hAnsi="Times New Roman" w:cs="Times New Roman"/>
          <w:sz w:val="24"/>
          <w:szCs w:val="24"/>
        </w:rPr>
        <w:t xml:space="preserve">and </w:t>
      </w:r>
      <w:r w:rsidRPr="002C3C7A">
        <w:rPr>
          <w:rFonts w:ascii="Times New Roman" w:hAnsi="Times New Roman" w:cs="Times New Roman"/>
          <w:sz w:val="24"/>
          <w:szCs w:val="24"/>
        </w:rPr>
        <w:t xml:space="preserve">the business environment. The overall </w:t>
      </w:r>
      <w:r w:rsidRPr="002C3C7A">
        <w:rPr>
          <w:rFonts w:ascii="Times New Roman" w:hAnsi="Times New Roman" w:cs="Times New Roman"/>
          <w:sz w:val="24"/>
          <w:szCs w:val="24"/>
        </w:rPr>
        <w:lastRenderedPageBreak/>
        <w:t xml:space="preserve">picture that emerges is that Member States continue to make efforts </w:t>
      </w:r>
      <w:r w:rsidR="00071643">
        <w:rPr>
          <w:rFonts w:ascii="Times New Roman" w:hAnsi="Times New Roman" w:cs="Times New Roman"/>
          <w:sz w:val="24"/>
          <w:szCs w:val="24"/>
        </w:rPr>
        <w:t>to</w:t>
      </w:r>
      <w:r w:rsidR="00071643" w:rsidRPr="002C3C7A">
        <w:rPr>
          <w:rFonts w:ascii="Times New Roman" w:hAnsi="Times New Roman" w:cs="Times New Roman"/>
          <w:sz w:val="24"/>
          <w:szCs w:val="24"/>
        </w:rPr>
        <w:t xml:space="preserve"> </w:t>
      </w:r>
      <w:r w:rsidRPr="002C3C7A">
        <w:rPr>
          <w:rFonts w:ascii="Times New Roman" w:hAnsi="Times New Roman" w:cs="Times New Roman"/>
          <w:sz w:val="24"/>
          <w:szCs w:val="24"/>
        </w:rPr>
        <w:t xml:space="preserve">implement reforms, but </w:t>
      </w:r>
      <w:r w:rsidR="00071643">
        <w:rPr>
          <w:rFonts w:ascii="Times New Roman" w:hAnsi="Times New Roman" w:cs="Times New Roman"/>
          <w:sz w:val="24"/>
          <w:szCs w:val="24"/>
        </w:rPr>
        <w:t xml:space="preserve">the degree of </w:t>
      </w:r>
      <w:r w:rsidRPr="002C3C7A">
        <w:rPr>
          <w:rFonts w:ascii="Times New Roman" w:hAnsi="Times New Roman" w:cs="Times New Roman"/>
          <w:sz w:val="24"/>
          <w:szCs w:val="24"/>
        </w:rPr>
        <w:t xml:space="preserve">progress ranges between </w:t>
      </w:r>
      <w:r w:rsidR="00071643">
        <w:rPr>
          <w:rFonts w:ascii="Times New Roman" w:hAnsi="Times New Roman" w:cs="Times New Roman"/>
          <w:sz w:val="24"/>
          <w:szCs w:val="24"/>
        </w:rPr>
        <w:t>‘</w:t>
      </w:r>
      <w:r w:rsidRPr="002C3C7A">
        <w:rPr>
          <w:rFonts w:ascii="Times New Roman" w:hAnsi="Times New Roman" w:cs="Times New Roman"/>
          <w:sz w:val="24"/>
          <w:szCs w:val="24"/>
        </w:rPr>
        <w:t>limited</w:t>
      </w:r>
      <w:r w:rsidR="00071643">
        <w:rPr>
          <w:rFonts w:ascii="Times New Roman" w:hAnsi="Times New Roman" w:cs="Times New Roman"/>
          <w:sz w:val="24"/>
          <w:szCs w:val="24"/>
        </w:rPr>
        <w:t>’</w:t>
      </w:r>
      <w:r w:rsidRPr="002C3C7A">
        <w:rPr>
          <w:rFonts w:ascii="Times New Roman" w:hAnsi="Times New Roman" w:cs="Times New Roman"/>
          <w:sz w:val="24"/>
          <w:szCs w:val="24"/>
        </w:rPr>
        <w:t xml:space="preserve"> and </w:t>
      </w:r>
      <w:r w:rsidR="00071643">
        <w:rPr>
          <w:rFonts w:ascii="Times New Roman" w:hAnsi="Times New Roman" w:cs="Times New Roman"/>
          <w:sz w:val="24"/>
          <w:szCs w:val="24"/>
        </w:rPr>
        <w:t>‘</w:t>
      </w:r>
      <w:r w:rsidRPr="002C3C7A">
        <w:rPr>
          <w:rFonts w:ascii="Times New Roman" w:hAnsi="Times New Roman" w:cs="Times New Roman"/>
          <w:sz w:val="24"/>
          <w:szCs w:val="24"/>
        </w:rPr>
        <w:t>some</w:t>
      </w:r>
      <w:r w:rsidR="00071643">
        <w:rPr>
          <w:rFonts w:ascii="Times New Roman" w:hAnsi="Times New Roman" w:cs="Times New Roman"/>
          <w:sz w:val="24"/>
          <w:szCs w:val="24"/>
        </w:rPr>
        <w:t>’</w:t>
      </w:r>
      <w:r w:rsidRPr="002C3C7A">
        <w:rPr>
          <w:rFonts w:ascii="Times New Roman" w:hAnsi="Times New Roman" w:cs="Times New Roman"/>
          <w:sz w:val="24"/>
          <w:szCs w:val="24"/>
        </w:rPr>
        <w:t xml:space="preserve"> for most policy areas identified in the 2016 country-specific recommendations. </w:t>
      </w:r>
      <w:r w:rsidR="00541437">
        <w:rPr>
          <w:rFonts w:ascii="Times New Roman" w:hAnsi="Times New Roman" w:cs="Times New Roman"/>
          <w:sz w:val="24"/>
          <w:szCs w:val="24"/>
        </w:rPr>
        <w:t>This means that there is still work to do before the reforms are fully implemented and deliver results for citizens and companies.</w:t>
      </w:r>
    </w:p>
    <w:p w:rsidR="00E729AF" w:rsidRPr="00FF6A88" w:rsidRDefault="00FB5401" w:rsidP="00991AC3">
      <w:pPr>
        <w:keepNext/>
        <w:jc w:val="both"/>
        <w:rPr>
          <w:rFonts w:ascii="Times New Roman" w:hAnsi="Times New Roman" w:cs="Times New Roman"/>
          <w:i/>
          <w:sz w:val="20"/>
          <w:szCs w:val="20"/>
        </w:rPr>
      </w:pPr>
      <w:r w:rsidRPr="00FF6A88">
        <w:rPr>
          <w:rFonts w:ascii="Times New Roman" w:hAnsi="Times New Roman" w:cs="Times New Roman"/>
          <w:i/>
          <w:sz w:val="20"/>
          <w:szCs w:val="20"/>
        </w:rPr>
        <w:t>Figure 3</w:t>
      </w:r>
      <w:r w:rsidR="00E729AF" w:rsidRPr="00FF6A88">
        <w:rPr>
          <w:rFonts w:ascii="Times New Roman" w:hAnsi="Times New Roman" w:cs="Times New Roman"/>
          <w:i/>
          <w:sz w:val="20"/>
          <w:szCs w:val="20"/>
        </w:rPr>
        <w:t xml:space="preserve">: Assessment of progress </w:t>
      </w:r>
      <w:r w:rsidR="00A505A9" w:rsidRPr="00FF6A88">
        <w:rPr>
          <w:rFonts w:ascii="Times New Roman" w:hAnsi="Times New Roman" w:cs="Times New Roman"/>
          <w:i/>
          <w:sz w:val="20"/>
          <w:szCs w:val="20"/>
        </w:rPr>
        <w:t>on</w:t>
      </w:r>
      <w:r w:rsidR="00E729AF" w:rsidRPr="00FF6A88">
        <w:rPr>
          <w:rFonts w:ascii="Times New Roman" w:hAnsi="Times New Roman" w:cs="Times New Roman"/>
          <w:i/>
          <w:sz w:val="20"/>
          <w:szCs w:val="20"/>
        </w:rPr>
        <w:t xml:space="preserve"> 2016 </w:t>
      </w:r>
      <w:r w:rsidR="00A505A9" w:rsidRPr="00FF6A88">
        <w:rPr>
          <w:rFonts w:ascii="Times New Roman" w:hAnsi="Times New Roman" w:cs="Times New Roman"/>
          <w:i/>
          <w:sz w:val="20"/>
          <w:szCs w:val="20"/>
        </w:rPr>
        <w:t>country-specific recommendations</w:t>
      </w:r>
      <w:r w:rsidR="00E729AF" w:rsidRPr="00FF6A88">
        <w:rPr>
          <w:rFonts w:ascii="Times New Roman" w:hAnsi="Times New Roman" w:cs="Times New Roman"/>
          <w:i/>
          <w:sz w:val="20"/>
          <w:szCs w:val="20"/>
        </w:rPr>
        <w:t xml:space="preserve"> by policy area</w:t>
      </w:r>
    </w:p>
    <w:p w:rsidR="00035B6B" w:rsidRDefault="00FB5401" w:rsidP="00991AC3">
      <w:pPr>
        <w:jc w:val="both"/>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3320DFF3" wp14:editId="0F3C3E94">
            <wp:extent cx="5540258" cy="4619707"/>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48272" cy="4626389"/>
                    </a:xfrm>
                    <a:prstGeom prst="rect">
                      <a:avLst/>
                    </a:prstGeom>
                    <a:noFill/>
                  </pic:spPr>
                </pic:pic>
              </a:graphicData>
            </a:graphic>
          </wp:inline>
        </w:drawing>
      </w:r>
    </w:p>
    <w:tbl>
      <w:tblPr>
        <w:tblW w:w="3840" w:type="dxa"/>
        <w:tblInd w:w="93" w:type="dxa"/>
        <w:tblLook w:val="04A0" w:firstRow="1" w:lastRow="0" w:firstColumn="1" w:lastColumn="0" w:noHBand="0" w:noVBand="1"/>
      </w:tblPr>
      <w:tblGrid>
        <w:gridCol w:w="1113"/>
        <w:gridCol w:w="1113"/>
        <w:gridCol w:w="1113"/>
        <w:gridCol w:w="501"/>
      </w:tblGrid>
      <w:tr w:rsidR="009055EF" w:rsidRPr="009055EF" w:rsidTr="009055EF">
        <w:trPr>
          <w:trHeight w:val="300"/>
        </w:trPr>
        <w:tc>
          <w:tcPr>
            <w:tcW w:w="3840" w:type="dxa"/>
            <w:gridSpan w:val="4"/>
            <w:tcBorders>
              <w:top w:val="nil"/>
              <w:left w:val="nil"/>
              <w:bottom w:val="nil"/>
              <w:right w:val="nil"/>
            </w:tcBorders>
            <w:shd w:val="clear" w:color="000000" w:fill="DCE6F1"/>
            <w:noWrap/>
            <w:vAlign w:val="bottom"/>
            <w:hideMark/>
          </w:tcPr>
          <w:p w:rsidR="009055EF" w:rsidRPr="009055EF" w:rsidRDefault="009055EF" w:rsidP="009055EF">
            <w:pPr>
              <w:spacing w:after="0" w:line="240" w:lineRule="auto"/>
              <w:rPr>
                <w:rFonts w:ascii="Calibri" w:eastAsia="Times New Roman" w:hAnsi="Calibri" w:cs="Times New Roman"/>
                <w:color w:val="000000"/>
                <w:lang w:eastAsia="en-GB"/>
              </w:rPr>
            </w:pPr>
            <w:r w:rsidRPr="009055EF">
              <w:rPr>
                <w:rFonts w:ascii="Calibri" w:eastAsia="Times New Roman" w:hAnsi="Calibri" w:cs="Times New Roman"/>
                <w:color w:val="000000"/>
                <w:lang w:eastAsia="en-GB"/>
              </w:rPr>
              <w:t>Addressed to 1-5 Member States</w:t>
            </w:r>
          </w:p>
        </w:tc>
      </w:tr>
      <w:tr w:rsidR="009055EF" w:rsidRPr="009055EF" w:rsidTr="009055EF">
        <w:trPr>
          <w:trHeight w:val="300"/>
        </w:trPr>
        <w:tc>
          <w:tcPr>
            <w:tcW w:w="1113" w:type="dxa"/>
            <w:tcBorders>
              <w:top w:val="nil"/>
              <w:left w:val="nil"/>
              <w:bottom w:val="nil"/>
              <w:right w:val="nil"/>
            </w:tcBorders>
            <w:shd w:val="clear" w:color="000000" w:fill="FFFFFF"/>
            <w:noWrap/>
            <w:vAlign w:val="bottom"/>
            <w:hideMark/>
          </w:tcPr>
          <w:p w:rsidR="009055EF" w:rsidRPr="009055EF" w:rsidRDefault="009055EF" w:rsidP="009055EF">
            <w:pPr>
              <w:spacing w:after="0" w:line="240" w:lineRule="auto"/>
              <w:rPr>
                <w:rFonts w:ascii="Calibri" w:eastAsia="Times New Roman" w:hAnsi="Calibri" w:cs="Times New Roman"/>
                <w:color w:val="000000"/>
                <w:lang w:eastAsia="en-GB"/>
              </w:rPr>
            </w:pPr>
            <w:r w:rsidRPr="009055EF">
              <w:rPr>
                <w:rFonts w:ascii="Calibri" w:eastAsia="Times New Roman" w:hAnsi="Calibri" w:cs="Times New Roman"/>
                <w:color w:val="000000"/>
                <w:lang w:eastAsia="en-GB"/>
              </w:rPr>
              <w:t> </w:t>
            </w:r>
          </w:p>
        </w:tc>
        <w:tc>
          <w:tcPr>
            <w:tcW w:w="1113" w:type="dxa"/>
            <w:tcBorders>
              <w:top w:val="nil"/>
              <w:left w:val="nil"/>
              <w:bottom w:val="nil"/>
              <w:right w:val="nil"/>
            </w:tcBorders>
            <w:shd w:val="clear" w:color="000000" w:fill="FFFFFF"/>
            <w:noWrap/>
            <w:vAlign w:val="bottom"/>
            <w:hideMark/>
          </w:tcPr>
          <w:p w:rsidR="009055EF" w:rsidRPr="009055EF" w:rsidRDefault="009055EF" w:rsidP="009055EF">
            <w:pPr>
              <w:spacing w:after="0" w:line="240" w:lineRule="auto"/>
              <w:rPr>
                <w:rFonts w:ascii="Calibri" w:eastAsia="Times New Roman" w:hAnsi="Calibri" w:cs="Times New Roman"/>
                <w:color w:val="000000"/>
                <w:lang w:eastAsia="en-GB"/>
              </w:rPr>
            </w:pPr>
            <w:r w:rsidRPr="009055EF">
              <w:rPr>
                <w:rFonts w:ascii="Calibri" w:eastAsia="Times New Roman" w:hAnsi="Calibri" w:cs="Times New Roman"/>
                <w:color w:val="000000"/>
                <w:lang w:eastAsia="en-GB"/>
              </w:rPr>
              <w:t> </w:t>
            </w:r>
          </w:p>
        </w:tc>
        <w:tc>
          <w:tcPr>
            <w:tcW w:w="1113" w:type="dxa"/>
            <w:tcBorders>
              <w:top w:val="nil"/>
              <w:left w:val="nil"/>
              <w:bottom w:val="nil"/>
              <w:right w:val="nil"/>
            </w:tcBorders>
            <w:shd w:val="clear" w:color="000000" w:fill="FFFFFF"/>
            <w:noWrap/>
            <w:vAlign w:val="bottom"/>
            <w:hideMark/>
          </w:tcPr>
          <w:p w:rsidR="009055EF" w:rsidRPr="009055EF" w:rsidRDefault="009055EF" w:rsidP="009055EF">
            <w:pPr>
              <w:spacing w:after="0" w:line="240" w:lineRule="auto"/>
              <w:rPr>
                <w:rFonts w:ascii="Calibri" w:eastAsia="Times New Roman" w:hAnsi="Calibri" w:cs="Times New Roman"/>
                <w:color w:val="000000"/>
                <w:lang w:eastAsia="en-GB"/>
              </w:rPr>
            </w:pPr>
            <w:r w:rsidRPr="009055EF">
              <w:rPr>
                <w:rFonts w:ascii="Calibri" w:eastAsia="Times New Roman" w:hAnsi="Calibri" w:cs="Times New Roman"/>
                <w:color w:val="000000"/>
                <w:lang w:eastAsia="en-GB"/>
              </w:rPr>
              <w:t> </w:t>
            </w:r>
          </w:p>
        </w:tc>
        <w:tc>
          <w:tcPr>
            <w:tcW w:w="501" w:type="dxa"/>
            <w:tcBorders>
              <w:top w:val="nil"/>
              <w:left w:val="nil"/>
              <w:bottom w:val="nil"/>
              <w:right w:val="nil"/>
            </w:tcBorders>
            <w:shd w:val="clear" w:color="auto" w:fill="auto"/>
            <w:noWrap/>
            <w:vAlign w:val="bottom"/>
            <w:hideMark/>
          </w:tcPr>
          <w:p w:rsidR="009055EF" w:rsidRPr="009055EF" w:rsidRDefault="009055EF" w:rsidP="009055EF">
            <w:pPr>
              <w:spacing w:after="0" w:line="240" w:lineRule="auto"/>
              <w:rPr>
                <w:rFonts w:ascii="Calibri" w:eastAsia="Times New Roman" w:hAnsi="Calibri" w:cs="Times New Roman"/>
                <w:color w:val="000000"/>
                <w:lang w:eastAsia="en-GB"/>
              </w:rPr>
            </w:pPr>
          </w:p>
        </w:tc>
      </w:tr>
      <w:tr w:rsidR="009055EF" w:rsidRPr="009055EF" w:rsidTr="009055EF">
        <w:trPr>
          <w:trHeight w:val="300"/>
        </w:trPr>
        <w:tc>
          <w:tcPr>
            <w:tcW w:w="3840" w:type="dxa"/>
            <w:gridSpan w:val="4"/>
            <w:tcBorders>
              <w:top w:val="nil"/>
              <w:left w:val="nil"/>
              <w:bottom w:val="nil"/>
              <w:right w:val="nil"/>
            </w:tcBorders>
            <w:shd w:val="clear" w:color="000000" w:fill="95B3D7"/>
            <w:noWrap/>
            <w:vAlign w:val="bottom"/>
            <w:hideMark/>
          </w:tcPr>
          <w:p w:rsidR="009055EF" w:rsidRPr="009055EF" w:rsidRDefault="009055EF" w:rsidP="009055EF">
            <w:pPr>
              <w:spacing w:after="0" w:line="240" w:lineRule="auto"/>
              <w:rPr>
                <w:rFonts w:ascii="Calibri" w:eastAsia="Times New Roman" w:hAnsi="Calibri" w:cs="Times New Roman"/>
                <w:color w:val="000000"/>
                <w:lang w:eastAsia="en-GB"/>
              </w:rPr>
            </w:pPr>
            <w:r w:rsidRPr="009055EF">
              <w:rPr>
                <w:rFonts w:ascii="Calibri" w:eastAsia="Times New Roman" w:hAnsi="Calibri" w:cs="Times New Roman"/>
                <w:color w:val="000000"/>
                <w:lang w:eastAsia="en-GB"/>
              </w:rPr>
              <w:t>Addressed to 6-10 Member States</w:t>
            </w:r>
          </w:p>
        </w:tc>
      </w:tr>
      <w:tr w:rsidR="009055EF" w:rsidRPr="009055EF" w:rsidTr="009055EF">
        <w:trPr>
          <w:trHeight w:val="300"/>
        </w:trPr>
        <w:tc>
          <w:tcPr>
            <w:tcW w:w="1113" w:type="dxa"/>
            <w:tcBorders>
              <w:top w:val="nil"/>
              <w:left w:val="nil"/>
              <w:bottom w:val="nil"/>
              <w:right w:val="nil"/>
            </w:tcBorders>
            <w:shd w:val="clear" w:color="000000" w:fill="FFFFFF"/>
            <w:noWrap/>
            <w:vAlign w:val="bottom"/>
            <w:hideMark/>
          </w:tcPr>
          <w:p w:rsidR="009055EF" w:rsidRPr="009055EF" w:rsidRDefault="009055EF" w:rsidP="009055EF">
            <w:pPr>
              <w:spacing w:after="0" w:line="240" w:lineRule="auto"/>
              <w:rPr>
                <w:rFonts w:ascii="Calibri" w:eastAsia="Times New Roman" w:hAnsi="Calibri" w:cs="Times New Roman"/>
                <w:color w:val="000000"/>
                <w:lang w:eastAsia="en-GB"/>
              </w:rPr>
            </w:pPr>
            <w:r w:rsidRPr="009055EF">
              <w:rPr>
                <w:rFonts w:ascii="Calibri" w:eastAsia="Times New Roman" w:hAnsi="Calibri" w:cs="Times New Roman"/>
                <w:color w:val="000000"/>
                <w:lang w:eastAsia="en-GB"/>
              </w:rPr>
              <w:t> </w:t>
            </w:r>
          </w:p>
        </w:tc>
        <w:tc>
          <w:tcPr>
            <w:tcW w:w="1113" w:type="dxa"/>
            <w:tcBorders>
              <w:top w:val="nil"/>
              <w:left w:val="nil"/>
              <w:bottom w:val="nil"/>
              <w:right w:val="nil"/>
            </w:tcBorders>
            <w:shd w:val="clear" w:color="000000" w:fill="FFFFFF"/>
            <w:noWrap/>
            <w:vAlign w:val="bottom"/>
            <w:hideMark/>
          </w:tcPr>
          <w:p w:rsidR="009055EF" w:rsidRPr="009055EF" w:rsidRDefault="009055EF" w:rsidP="009055EF">
            <w:pPr>
              <w:spacing w:after="0" w:line="240" w:lineRule="auto"/>
              <w:rPr>
                <w:rFonts w:ascii="Calibri" w:eastAsia="Times New Roman" w:hAnsi="Calibri" w:cs="Times New Roman"/>
                <w:color w:val="000000"/>
                <w:lang w:eastAsia="en-GB"/>
              </w:rPr>
            </w:pPr>
            <w:r w:rsidRPr="009055EF">
              <w:rPr>
                <w:rFonts w:ascii="Calibri" w:eastAsia="Times New Roman" w:hAnsi="Calibri" w:cs="Times New Roman"/>
                <w:color w:val="000000"/>
                <w:lang w:eastAsia="en-GB"/>
              </w:rPr>
              <w:t> </w:t>
            </w:r>
          </w:p>
        </w:tc>
        <w:tc>
          <w:tcPr>
            <w:tcW w:w="1113" w:type="dxa"/>
            <w:tcBorders>
              <w:top w:val="nil"/>
              <w:left w:val="nil"/>
              <w:bottom w:val="nil"/>
              <w:right w:val="nil"/>
            </w:tcBorders>
            <w:shd w:val="clear" w:color="000000" w:fill="FFFFFF"/>
            <w:noWrap/>
            <w:vAlign w:val="bottom"/>
            <w:hideMark/>
          </w:tcPr>
          <w:p w:rsidR="009055EF" w:rsidRPr="009055EF" w:rsidRDefault="009055EF" w:rsidP="009055EF">
            <w:pPr>
              <w:spacing w:after="0" w:line="240" w:lineRule="auto"/>
              <w:rPr>
                <w:rFonts w:ascii="Calibri" w:eastAsia="Times New Roman" w:hAnsi="Calibri" w:cs="Times New Roman"/>
                <w:color w:val="000000"/>
                <w:lang w:eastAsia="en-GB"/>
              </w:rPr>
            </w:pPr>
            <w:r w:rsidRPr="009055EF">
              <w:rPr>
                <w:rFonts w:ascii="Calibri" w:eastAsia="Times New Roman" w:hAnsi="Calibri" w:cs="Times New Roman"/>
                <w:color w:val="000000"/>
                <w:lang w:eastAsia="en-GB"/>
              </w:rPr>
              <w:t> </w:t>
            </w:r>
          </w:p>
        </w:tc>
        <w:tc>
          <w:tcPr>
            <w:tcW w:w="501" w:type="dxa"/>
            <w:tcBorders>
              <w:top w:val="nil"/>
              <w:left w:val="nil"/>
              <w:bottom w:val="nil"/>
              <w:right w:val="nil"/>
            </w:tcBorders>
            <w:shd w:val="clear" w:color="auto" w:fill="auto"/>
            <w:noWrap/>
            <w:vAlign w:val="bottom"/>
            <w:hideMark/>
          </w:tcPr>
          <w:p w:rsidR="009055EF" w:rsidRPr="009055EF" w:rsidRDefault="009055EF" w:rsidP="009055EF">
            <w:pPr>
              <w:spacing w:after="0" w:line="240" w:lineRule="auto"/>
              <w:rPr>
                <w:rFonts w:ascii="Calibri" w:eastAsia="Times New Roman" w:hAnsi="Calibri" w:cs="Times New Roman"/>
                <w:color w:val="000000"/>
                <w:lang w:eastAsia="en-GB"/>
              </w:rPr>
            </w:pPr>
          </w:p>
        </w:tc>
      </w:tr>
      <w:tr w:rsidR="009055EF" w:rsidRPr="009055EF" w:rsidTr="009055EF">
        <w:trPr>
          <w:trHeight w:val="300"/>
        </w:trPr>
        <w:tc>
          <w:tcPr>
            <w:tcW w:w="3840" w:type="dxa"/>
            <w:gridSpan w:val="4"/>
            <w:tcBorders>
              <w:top w:val="nil"/>
              <w:left w:val="nil"/>
              <w:bottom w:val="nil"/>
              <w:right w:val="nil"/>
            </w:tcBorders>
            <w:shd w:val="clear" w:color="000000" w:fill="244062"/>
            <w:noWrap/>
            <w:vAlign w:val="bottom"/>
            <w:hideMark/>
          </w:tcPr>
          <w:p w:rsidR="009055EF" w:rsidRPr="009055EF" w:rsidRDefault="009055EF" w:rsidP="009055EF">
            <w:pPr>
              <w:spacing w:after="0" w:line="240" w:lineRule="auto"/>
              <w:rPr>
                <w:rFonts w:ascii="Calibri" w:eastAsia="Times New Roman" w:hAnsi="Calibri" w:cs="Times New Roman"/>
                <w:color w:val="FFFFFF"/>
                <w:lang w:eastAsia="en-GB"/>
              </w:rPr>
            </w:pPr>
            <w:r w:rsidRPr="009055EF">
              <w:rPr>
                <w:rFonts w:ascii="Calibri" w:eastAsia="Times New Roman" w:hAnsi="Calibri" w:cs="Times New Roman"/>
                <w:color w:val="FFFFFF"/>
                <w:lang w:eastAsia="en-GB"/>
              </w:rPr>
              <w:t>Addressed to 11+ Member States</w:t>
            </w:r>
          </w:p>
        </w:tc>
      </w:tr>
    </w:tbl>
    <w:p w:rsidR="00E729AF" w:rsidRPr="002C3C7A" w:rsidRDefault="00E729AF" w:rsidP="00991AC3">
      <w:pPr>
        <w:jc w:val="both"/>
        <w:rPr>
          <w:rFonts w:ascii="Times New Roman" w:hAnsi="Times New Roman" w:cs="Times New Roman"/>
          <w:sz w:val="24"/>
          <w:szCs w:val="24"/>
        </w:rPr>
      </w:pPr>
    </w:p>
    <w:p w:rsidR="00E729AF" w:rsidRPr="002C3C7A" w:rsidRDefault="00E729AF" w:rsidP="00991AC3">
      <w:pPr>
        <w:spacing w:before="100" w:beforeAutospacing="1" w:after="100" w:afterAutospacing="1"/>
        <w:jc w:val="both"/>
        <w:rPr>
          <w:rFonts w:ascii="Times New Roman" w:hAnsi="Times New Roman" w:cs="Times New Roman"/>
          <w:sz w:val="24"/>
          <w:szCs w:val="24"/>
        </w:rPr>
      </w:pPr>
      <w:r w:rsidRPr="002C3C7A">
        <w:rPr>
          <w:rFonts w:ascii="Times New Roman" w:hAnsi="Times New Roman" w:cs="Times New Roman"/>
          <w:b/>
          <w:sz w:val="24"/>
          <w:szCs w:val="24"/>
        </w:rPr>
        <w:t xml:space="preserve">The correction of macroeconomic imbalances continues, reflecting progress </w:t>
      </w:r>
      <w:r w:rsidR="0024184B">
        <w:rPr>
          <w:rFonts w:ascii="Times New Roman" w:hAnsi="Times New Roman" w:cs="Times New Roman"/>
          <w:b/>
          <w:sz w:val="24"/>
          <w:szCs w:val="24"/>
        </w:rPr>
        <w:t xml:space="preserve">in </w:t>
      </w:r>
      <w:r w:rsidRPr="002C3C7A">
        <w:rPr>
          <w:rFonts w:ascii="Times New Roman" w:hAnsi="Times New Roman" w:cs="Times New Roman"/>
          <w:b/>
          <w:sz w:val="24"/>
          <w:szCs w:val="24"/>
        </w:rPr>
        <w:t>implement</w:t>
      </w:r>
      <w:r w:rsidR="0024184B">
        <w:rPr>
          <w:rFonts w:ascii="Times New Roman" w:hAnsi="Times New Roman" w:cs="Times New Roman"/>
          <w:b/>
          <w:sz w:val="24"/>
          <w:szCs w:val="24"/>
        </w:rPr>
        <w:t xml:space="preserve">ing </w:t>
      </w:r>
      <w:r w:rsidRPr="002C3C7A">
        <w:rPr>
          <w:rFonts w:ascii="Times New Roman" w:hAnsi="Times New Roman" w:cs="Times New Roman"/>
          <w:b/>
          <w:sz w:val="24"/>
          <w:szCs w:val="24"/>
        </w:rPr>
        <w:t>relevant reforms, but it remains largely asymmetric</w:t>
      </w:r>
      <w:r w:rsidR="00F52633">
        <w:rPr>
          <w:rFonts w:ascii="Times New Roman" w:hAnsi="Times New Roman" w:cs="Times New Roman"/>
          <w:b/>
          <w:sz w:val="24"/>
          <w:szCs w:val="24"/>
        </w:rPr>
        <w:t xml:space="preserve"> across the EU, </w:t>
      </w:r>
      <w:r w:rsidR="00F52633" w:rsidRPr="00C278FF">
        <w:rPr>
          <w:rFonts w:ascii="Times New Roman" w:hAnsi="Times New Roman" w:cs="Times New Roman"/>
          <w:sz w:val="24"/>
          <w:szCs w:val="24"/>
        </w:rPr>
        <w:t xml:space="preserve">in the sense that </w:t>
      </w:r>
      <w:r w:rsidR="00F52633">
        <w:rPr>
          <w:rFonts w:ascii="Times New Roman" w:hAnsi="Times New Roman" w:cs="Times New Roman"/>
          <w:sz w:val="24"/>
          <w:szCs w:val="24"/>
        </w:rPr>
        <w:t xml:space="preserve">it is </w:t>
      </w:r>
      <w:r w:rsidRPr="002C3C7A">
        <w:rPr>
          <w:rFonts w:ascii="Times New Roman" w:hAnsi="Times New Roman" w:cs="Times New Roman"/>
          <w:sz w:val="24"/>
          <w:szCs w:val="24"/>
        </w:rPr>
        <w:t xml:space="preserve">countries with external deficits or debt </w:t>
      </w:r>
      <w:r w:rsidR="00351C44">
        <w:rPr>
          <w:rFonts w:ascii="Times New Roman" w:hAnsi="Times New Roman" w:cs="Times New Roman"/>
          <w:sz w:val="24"/>
          <w:szCs w:val="24"/>
        </w:rPr>
        <w:t xml:space="preserve">that </w:t>
      </w:r>
      <w:r w:rsidRPr="002C3C7A">
        <w:rPr>
          <w:rFonts w:ascii="Times New Roman" w:hAnsi="Times New Roman" w:cs="Times New Roman"/>
          <w:sz w:val="24"/>
          <w:szCs w:val="24"/>
        </w:rPr>
        <w:t>ha</w:t>
      </w:r>
      <w:r w:rsidR="00F52633">
        <w:rPr>
          <w:rFonts w:ascii="Times New Roman" w:hAnsi="Times New Roman" w:cs="Times New Roman"/>
          <w:sz w:val="24"/>
          <w:szCs w:val="24"/>
        </w:rPr>
        <w:t>ve</w:t>
      </w:r>
      <w:r w:rsidRPr="002C3C7A">
        <w:rPr>
          <w:rFonts w:ascii="Times New Roman" w:hAnsi="Times New Roman" w:cs="Times New Roman"/>
          <w:sz w:val="24"/>
          <w:szCs w:val="24"/>
        </w:rPr>
        <w:t xml:space="preserve"> made further progress. At the same time, large current account surpluses persist in some other countries. The ensuing persistent current account surplus of the euro area reflects aggregate demand dynamics that continue to lag behind economic activity. </w:t>
      </w:r>
      <w:r w:rsidR="00F52633">
        <w:rPr>
          <w:rFonts w:ascii="Times New Roman" w:hAnsi="Times New Roman" w:cs="Times New Roman"/>
          <w:sz w:val="24"/>
          <w:szCs w:val="24"/>
        </w:rPr>
        <w:t xml:space="preserve">Moreover, </w:t>
      </w:r>
      <w:r w:rsidR="00F52633">
        <w:rPr>
          <w:rFonts w:ascii="Times New Roman" w:hAnsi="Times New Roman" w:cs="Times New Roman"/>
          <w:sz w:val="24"/>
          <w:szCs w:val="24"/>
        </w:rPr>
        <w:lastRenderedPageBreak/>
        <w:t>c</w:t>
      </w:r>
      <w:r w:rsidRPr="002C3C7A">
        <w:rPr>
          <w:rFonts w:ascii="Times New Roman" w:hAnsi="Times New Roman" w:cs="Times New Roman"/>
          <w:sz w:val="24"/>
          <w:szCs w:val="24"/>
        </w:rPr>
        <w:t xml:space="preserve">ore inflation </w:t>
      </w:r>
      <w:r w:rsidR="00F52633">
        <w:rPr>
          <w:rFonts w:ascii="Times New Roman" w:hAnsi="Times New Roman" w:cs="Times New Roman"/>
          <w:sz w:val="24"/>
          <w:szCs w:val="24"/>
        </w:rPr>
        <w:t>has been</w:t>
      </w:r>
      <w:r w:rsidR="00F52633" w:rsidRPr="002C3C7A">
        <w:rPr>
          <w:rFonts w:ascii="Times New Roman" w:hAnsi="Times New Roman" w:cs="Times New Roman"/>
          <w:sz w:val="24"/>
          <w:szCs w:val="24"/>
        </w:rPr>
        <w:t xml:space="preserve"> </w:t>
      </w:r>
      <w:r w:rsidRPr="002C3C7A">
        <w:rPr>
          <w:rFonts w:ascii="Times New Roman" w:hAnsi="Times New Roman" w:cs="Times New Roman"/>
          <w:sz w:val="24"/>
          <w:szCs w:val="24"/>
        </w:rPr>
        <w:t xml:space="preserve">at historically low levels. This provides a challenging environment for countries that need to reduce domestic and foreign debt. As a result, private and public debt deleveraging is </w:t>
      </w:r>
      <w:r w:rsidR="0024184B">
        <w:rPr>
          <w:rFonts w:ascii="Times New Roman" w:hAnsi="Times New Roman" w:cs="Times New Roman"/>
          <w:sz w:val="24"/>
          <w:szCs w:val="24"/>
        </w:rPr>
        <w:t>progressing</w:t>
      </w:r>
      <w:r w:rsidRPr="002C3C7A">
        <w:rPr>
          <w:rFonts w:ascii="Times New Roman" w:hAnsi="Times New Roman" w:cs="Times New Roman"/>
          <w:sz w:val="24"/>
          <w:szCs w:val="24"/>
        </w:rPr>
        <w:t xml:space="preserve"> at a slow and uneven pace, hampered by low nominal growth. Boosting price and non-price competitiveness would </w:t>
      </w:r>
      <w:r w:rsidR="0024184B">
        <w:rPr>
          <w:rFonts w:ascii="Times New Roman" w:hAnsi="Times New Roman" w:cs="Times New Roman"/>
          <w:sz w:val="24"/>
          <w:szCs w:val="24"/>
        </w:rPr>
        <w:t xml:space="preserve">help </w:t>
      </w:r>
      <w:r w:rsidRPr="002C3C7A">
        <w:rPr>
          <w:rFonts w:ascii="Times New Roman" w:hAnsi="Times New Roman" w:cs="Times New Roman"/>
          <w:sz w:val="24"/>
          <w:szCs w:val="24"/>
        </w:rPr>
        <w:t xml:space="preserve">external rebalancing in the euro area. Member States with current account deficits or high external debt can contribute to </w:t>
      </w:r>
      <w:r w:rsidR="0024184B">
        <w:rPr>
          <w:rFonts w:ascii="Times New Roman" w:hAnsi="Times New Roman" w:cs="Times New Roman"/>
          <w:sz w:val="24"/>
          <w:szCs w:val="24"/>
        </w:rPr>
        <w:t xml:space="preserve">the euro area </w:t>
      </w:r>
      <w:r w:rsidRPr="002C3C7A">
        <w:rPr>
          <w:rFonts w:ascii="Times New Roman" w:hAnsi="Times New Roman" w:cs="Times New Roman"/>
          <w:sz w:val="24"/>
          <w:szCs w:val="24"/>
        </w:rPr>
        <w:t xml:space="preserve">rebalancing by introducing measures </w:t>
      </w:r>
      <w:r w:rsidR="00B65BF7">
        <w:rPr>
          <w:rFonts w:ascii="Times New Roman" w:hAnsi="Times New Roman" w:cs="Times New Roman"/>
          <w:sz w:val="24"/>
          <w:szCs w:val="24"/>
        </w:rPr>
        <w:t>that help</w:t>
      </w:r>
      <w:r w:rsidRPr="002C3C7A">
        <w:rPr>
          <w:rFonts w:ascii="Times New Roman" w:hAnsi="Times New Roman" w:cs="Times New Roman"/>
          <w:sz w:val="24"/>
          <w:szCs w:val="24"/>
        </w:rPr>
        <w:t xml:space="preserve"> raise productivity. </w:t>
      </w:r>
      <w:r w:rsidR="0024184B">
        <w:rPr>
          <w:rFonts w:ascii="Times New Roman" w:hAnsi="Times New Roman" w:cs="Times New Roman"/>
          <w:sz w:val="24"/>
          <w:szCs w:val="24"/>
        </w:rPr>
        <w:t xml:space="preserve">Those </w:t>
      </w:r>
      <w:r w:rsidRPr="002C3C7A">
        <w:rPr>
          <w:rFonts w:ascii="Times New Roman" w:hAnsi="Times New Roman" w:cs="Times New Roman"/>
          <w:sz w:val="24"/>
          <w:szCs w:val="24"/>
        </w:rPr>
        <w:t xml:space="preserve">with large current account surpluses can contribute to </w:t>
      </w:r>
      <w:r w:rsidR="0024184B">
        <w:rPr>
          <w:rFonts w:ascii="Times New Roman" w:hAnsi="Times New Roman" w:cs="Times New Roman"/>
          <w:sz w:val="24"/>
          <w:szCs w:val="24"/>
        </w:rPr>
        <w:t xml:space="preserve">the </w:t>
      </w:r>
      <w:r w:rsidRPr="002C3C7A">
        <w:rPr>
          <w:rFonts w:ascii="Times New Roman" w:hAnsi="Times New Roman" w:cs="Times New Roman"/>
          <w:sz w:val="24"/>
          <w:szCs w:val="24"/>
        </w:rPr>
        <w:t>euro area</w:t>
      </w:r>
      <w:r w:rsidR="0024184B">
        <w:rPr>
          <w:rFonts w:ascii="Times New Roman" w:hAnsi="Times New Roman" w:cs="Times New Roman"/>
          <w:sz w:val="24"/>
          <w:szCs w:val="24"/>
        </w:rPr>
        <w:t>’s</w:t>
      </w:r>
      <w:r w:rsidRPr="002C3C7A">
        <w:rPr>
          <w:rFonts w:ascii="Times New Roman" w:hAnsi="Times New Roman" w:cs="Times New Roman"/>
          <w:sz w:val="24"/>
          <w:szCs w:val="24"/>
        </w:rPr>
        <w:t xml:space="preserve"> rebalancing by structural reforms</w:t>
      </w:r>
      <w:r w:rsidR="0024184B">
        <w:rPr>
          <w:rFonts w:ascii="Times New Roman" w:hAnsi="Times New Roman" w:cs="Times New Roman"/>
          <w:sz w:val="24"/>
          <w:szCs w:val="24"/>
        </w:rPr>
        <w:t xml:space="preserve"> and other measures</w:t>
      </w:r>
      <w:r w:rsidRPr="002C3C7A">
        <w:rPr>
          <w:rFonts w:ascii="Times New Roman" w:hAnsi="Times New Roman" w:cs="Times New Roman"/>
          <w:sz w:val="24"/>
          <w:szCs w:val="24"/>
        </w:rPr>
        <w:t xml:space="preserve"> that </w:t>
      </w:r>
      <w:r w:rsidR="0024184B">
        <w:rPr>
          <w:rFonts w:ascii="Times New Roman" w:hAnsi="Times New Roman" w:cs="Times New Roman"/>
          <w:sz w:val="24"/>
          <w:szCs w:val="24"/>
        </w:rPr>
        <w:t>make it easier</w:t>
      </w:r>
      <w:r w:rsidR="00A713C8">
        <w:rPr>
          <w:rFonts w:ascii="Times New Roman" w:hAnsi="Times New Roman" w:cs="Times New Roman"/>
          <w:sz w:val="24"/>
          <w:szCs w:val="24"/>
        </w:rPr>
        <w:t xml:space="preserve"> </w:t>
      </w:r>
      <w:r w:rsidR="0024184B">
        <w:rPr>
          <w:rFonts w:ascii="Times New Roman" w:hAnsi="Times New Roman" w:cs="Times New Roman"/>
          <w:sz w:val="24"/>
          <w:szCs w:val="24"/>
        </w:rPr>
        <w:t xml:space="preserve">to </w:t>
      </w:r>
      <w:r w:rsidRPr="002C3C7A">
        <w:rPr>
          <w:rFonts w:ascii="Times New Roman" w:hAnsi="Times New Roman" w:cs="Times New Roman"/>
          <w:sz w:val="24"/>
          <w:szCs w:val="24"/>
        </w:rPr>
        <w:t xml:space="preserve">channel excessive savings </w:t>
      </w:r>
      <w:r w:rsidR="0024184B">
        <w:rPr>
          <w:rFonts w:ascii="Times New Roman" w:hAnsi="Times New Roman" w:cs="Times New Roman"/>
          <w:sz w:val="24"/>
          <w:szCs w:val="24"/>
        </w:rPr>
        <w:t>in</w:t>
      </w:r>
      <w:r w:rsidRPr="002C3C7A">
        <w:rPr>
          <w:rFonts w:ascii="Times New Roman" w:hAnsi="Times New Roman" w:cs="Times New Roman"/>
          <w:sz w:val="24"/>
          <w:szCs w:val="24"/>
        </w:rPr>
        <w:t>to domestic demand</w:t>
      </w:r>
      <w:r w:rsidR="0024184B">
        <w:rPr>
          <w:rFonts w:ascii="Times New Roman" w:hAnsi="Times New Roman" w:cs="Times New Roman"/>
          <w:sz w:val="24"/>
          <w:szCs w:val="24"/>
        </w:rPr>
        <w:t>. This can be done</w:t>
      </w:r>
      <w:r w:rsidRPr="002C3C7A">
        <w:rPr>
          <w:rFonts w:ascii="Times New Roman" w:hAnsi="Times New Roman" w:cs="Times New Roman"/>
          <w:sz w:val="24"/>
          <w:szCs w:val="24"/>
        </w:rPr>
        <w:t xml:space="preserve">, in particular by strengthening investment and promoting stronger wage growth. The current environment of low interest rates also </w:t>
      </w:r>
      <w:r w:rsidR="0024184B">
        <w:rPr>
          <w:rFonts w:ascii="Times New Roman" w:hAnsi="Times New Roman" w:cs="Times New Roman"/>
          <w:sz w:val="24"/>
          <w:szCs w:val="24"/>
        </w:rPr>
        <w:t xml:space="preserve">provides </w:t>
      </w:r>
      <w:r w:rsidRPr="002C3C7A">
        <w:rPr>
          <w:rFonts w:ascii="Times New Roman" w:hAnsi="Times New Roman" w:cs="Times New Roman"/>
          <w:sz w:val="24"/>
          <w:szCs w:val="24"/>
        </w:rPr>
        <w:t xml:space="preserve">additional opportunities </w:t>
      </w:r>
      <w:r w:rsidR="0024184B">
        <w:rPr>
          <w:rFonts w:ascii="Times New Roman" w:hAnsi="Times New Roman" w:cs="Times New Roman"/>
          <w:sz w:val="24"/>
          <w:szCs w:val="24"/>
        </w:rPr>
        <w:t xml:space="preserve">to do </w:t>
      </w:r>
      <w:r w:rsidRPr="002C3C7A">
        <w:rPr>
          <w:rFonts w:ascii="Times New Roman" w:hAnsi="Times New Roman" w:cs="Times New Roman"/>
          <w:sz w:val="24"/>
          <w:szCs w:val="24"/>
        </w:rPr>
        <w:t>this, notably in countries with significant fiscal space.</w:t>
      </w:r>
    </w:p>
    <w:p w:rsidR="00E729AF" w:rsidRPr="002C3C7A" w:rsidRDefault="00E729AF" w:rsidP="00991AC3">
      <w:pPr>
        <w:spacing w:before="100" w:beforeAutospacing="1" w:after="100" w:afterAutospacing="1"/>
        <w:jc w:val="both"/>
        <w:rPr>
          <w:rFonts w:ascii="Times New Roman" w:hAnsi="Times New Roman" w:cs="Times New Roman"/>
          <w:sz w:val="24"/>
          <w:szCs w:val="24"/>
        </w:rPr>
      </w:pPr>
      <w:r w:rsidRPr="002C3C7A">
        <w:rPr>
          <w:rFonts w:ascii="Times New Roman" w:hAnsi="Times New Roman" w:cs="Times New Roman"/>
          <w:b/>
          <w:sz w:val="24"/>
          <w:szCs w:val="24"/>
        </w:rPr>
        <w:t xml:space="preserve">A number of imbalances remain to be addressed. </w:t>
      </w:r>
      <w:r w:rsidR="00541437" w:rsidRPr="006D17FD">
        <w:rPr>
          <w:rFonts w:ascii="Times New Roman" w:hAnsi="Times New Roman" w:cs="Times New Roman"/>
          <w:sz w:val="24"/>
          <w:szCs w:val="24"/>
        </w:rPr>
        <w:t>Levels of private</w:t>
      </w:r>
      <w:r w:rsidR="00541437">
        <w:rPr>
          <w:rFonts w:ascii="Times New Roman" w:hAnsi="Times New Roman" w:cs="Times New Roman"/>
          <w:sz w:val="24"/>
          <w:szCs w:val="24"/>
        </w:rPr>
        <w:t xml:space="preserve">, </w:t>
      </w:r>
      <w:r w:rsidR="00541437" w:rsidRPr="006D17FD">
        <w:rPr>
          <w:rFonts w:ascii="Times New Roman" w:hAnsi="Times New Roman" w:cs="Times New Roman"/>
          <w:sz w:val="24"/>
          <w:szCs w:val="24"/>
        </w:rPr>
        <w:t xml:space="preserve">public </w:t>
      </w:r>
      <w:r w:rsidR="00541437">
        <w:rPr>
          <w:rFonts w:ascii="Times New Roman" w:hAnsi="Times New Roman" w:cs="Times New Roman"/>
          <w:sz w:val="24"/>
          <w:szCs w:val="24"/>
        </w:rPr>
        <w:t xml:space="preserve">and external </w:t>
      </w:r>
      <w:r w:rsidR="00541437" w:rsidRPr="006D17FD">
        <w:rPr>
          <w:rFonts w:ascii="Times New Roman" w:hAnsi="Times New Roman" w:cs="Times New Roman"/>
          <w:sz w:val="24"/>
          <w:szCs w:val="24"/>
        </w:rPr>
        <w:t xml:space="preserve">debts </w:t>
      </w:r>
      <w:r w:rsidR="00541437">
        <w:rPr>
          <w:rFonts w:ascii="Times New Roman" w:hAnsi="Times New Roman" w:cs="Times New Roman"/>
          <w:sz w:val="24"/>
          <w:szCs w:val="24"/>
        </w:rPr>
        <w:t xml:space="preserve">remain very high in some countries. Keeping these debts on a solid declining path is essential to reduce vulnerabilities, also in view of a </w:t>
      </w:r>
      <w:r w:rsidR="00F52633">
        <w:rPr>
          <w:rFonts w:ascii="Times New Roman" w:hAnsi="Times New Roman" w:cs="Times New Roman"/>
          <w:sz w:val="24"/>
          <w:szCs w:val="24"/>
        </w:rPr>
        <w:t xml:space="preserve">foreseen </w:t>
      </w:r>
      <w:r w:rsidR="00541437">
        <w:rPr>
          <w:rFonts w:ascii="Times New Roman" w:hAnsi="Times New Roman" w:cs="Times New Roman"/>
          <w:sz w:val="24"/>
          <w:szCs w:val="24"/>
        </w:rPr>
        <w:t xml:space="preserve">recovery in inflation and interest rates. </w:t>
      </w:r>
      <w:r w:rsidRPr="002C3C7A">
        <w:rPr>
          <w:rFonts w:ascii="Times New Roman" w:hAnsi="Times New Roman" w:cs="Times New Roman"/>
          <w:sz w:val="24"/>
          <w:szCs w:val="24"/>
        </w:rPr>
        <w:t>Capital buffers in the financial sector have been strengthened, but challenges arise from low profitability, coupled with high levels of non-performing loans. Labour market conditions are improving</w:t>
      </w:r>
      <w:r w:rsidR="00F52633">
        <w:rPr>
          <w:rFonts w:ascii="Times New Roman" w:hAnsi="Times New Roman" w:cs="Times New Roman"/>
          <w:sz w:val="24"/>
          <w:szCs w:val="24"/>
        </w:rPr>
        <w:t xml:space="preserve"> across the board</w:t>
      </w:r>
      <w:r w:rsidRPr="002C3C7A">
        <w:rPr>
          <w:rFonts w:ascii="Times New Roman" w:hAnsi="Times New Roman" w:cs="Times New Roman"/>
          <w:sz w:val="24"/>
          <w:szCs w:val="24"/>
        </w:rPr>
        <w:t>, although persistent</w:t>
      </w:r>
      <w:r w:rsidR="003A792A" w:rsidRPr="002C3C7A">
        <w:rPr>
          <w:rFonts w:ascii="Times New Roman" w:hAnsi="Times New Roman" w:cs="Times New Roman"/>
          <w:sz w:val="24"/>
          <w:szCs w:val="24"/>
        </w:rPr>
        <w:t>ly</w:t>
      </w:r>
      <w:r w:rsidRPr="002C3C7A">
        <w:rPr>
          <w:rFonts w:ascii="Times New Roman" w:hAnsi="Times New Roman" w:cs="Times New Roman"/>
          <w:sz w:val="24"/>
          <w:szCs w:val="24"/>
        </w:rPr>
        <w:t xml:space="preserve"> high unemployment </w:t>
      </w:r>
      <w:r w:rsidR="00B65BF7">
        <w:rPr>
          <w:rFonts w:ascii="Times New Roman" w:hAnsi="Times New Roman" w:cs="Times New Roman"/>
          <w:sz w:val="24"/>
          <w:szCs w:val="24"/>
        </w:rPr>
        <w:t>and inequality remain</w:t>
      </w:r>
      <w:r w:rsidRPr="002C3C7A">
        <w:rPr>
          <w:rFonts w:ascii="Times New Roman" w:hAnsi="Times New Roman" w:cs="Times New Roman"/>
          <w:sz w:val="24"/>
          <w:szCs w:val="24"/>
        </w:rPr>
        <w:t xml:space="preserve"> source</w:t>
      </w:r>
      <w:r w:rsidR="00B65BF7">
        <w:rPr>
          <w:rFonts w:ascii="Times New Roman" w:hAnsi="Times New Roman" w:cs="Times New Roman"/>
          <w:sz w:val="24"/>
          <w:szCs w:val="24"/>
        </w:rPr>
        <w:t>s</w:t>
      </w:r>
      <w:r w:rsidRPr="002C3C7A">
        <w:rPr>
          <w:rFonts w:ascii="Times New Roman" w:hAnsi="Times New Roman" w:cs="Times New Roman"/>
          <w:sz w:val="24"/>
          <w:szCs w:val="24"/>
        </w:rPr>
        <w:t xml:space="preserve"> of social distress and weigh on economic performance in </w:t>
      </w:r>
      <w:r w:rsidR="00A713C8">
        <w:rPr>
          <w:rFonts w:ascii="Times New Roman" w:hAnsi="Times New Roman" w:cs="Times New Roman"/>
          <w:sz w:val="24"/>
          <w:szCs w:val="24"/>
        </w:rPr>
        <w:t xml:space="preserve">some </w:t>
      </w:r>
      <w:r w:rsidRPr="002C3C7A">
        <w:rPr>
          <w:rFonts w:ascii="Times New Roman" w:hAnsi="Times New Roman" w:cs="Times New Roman"/>
          <w:sz w:val="24"/>
          <w:szCs w:val="24"/>
        </w:rPr>
        <w:t xml:space="preserve">Member States. In a growing number of Member States, challenges are linked to strong house price </w:t>
      </w:r>
      <w:r w:rsidR="00A713C8">
        <w:rPr>
          <w:rFonts w:ascii="Times New Roman" w:hAnsi="Times New Roman" w:cs="Times New Roman"/>
          <w:sz w:val="24"/>
          <w:szCs w:val="24"/>
        </w:rPr>
        <w:t>movements</w:t>
      </w:r>
      <w:r w:rsidRPr="002C3C7A">
        <w:rPr>
          <w:rFonts w:ascii="Times New Roman" w:hAnsi="Times New Roman" w:cs="Times New Roman"/>
          <w:sz w:val="24"/>
          <w:szCs w:val="24"/>
        </w:rPr>
        <w:t xml:space="preserve">. </w:t>
      </w:r>
    </w:p>
    <w:p w:rsidR="00E729AF" w:rsidRDefault="00E729AF" w:rsidP="00AE2023">
      <w:pPr>
        <w:spacing w:before="100" w:beforeAutospacing="1" w:after="100" w:afterAutospacing="1"/>
        <w:jc w:val="both"/>
        <w:rPr>
          <w:rFonts w:ascii="Times New Roman" w:hAnsi="Times New Roman" w:cs="Times New Roman"/>
          <w:sz w:val="24"/>
          <w:szCs w:val="24"/>
        </w:rPr>
      </w:pPr>
      <w:r w:rsidRPr="002C3C7A">
        <w:rPr>
          <w:rFonts w:ascii="Times New Roman" w:hAnsi="Times New Roman" w:cs="Times New Roman"/>
          <w:b/>
          <w:sz w:val="24"/>
          <w:szCs w:val="24"/>
        </w:rPr>
        <w:t>In February</w:t>
      </w:r>
      <w:r w:rsidR="00A505A9">
        <w:rPr>
          <w:rFonts w:ascii="Times New Roman" w:hAnsi="Times New Roman" w:cs="Times New Roman"/>
          <w:b/>
          <w:sz w:val="24"/>
          <w:szCs w:val="24"/>
        </w:rPr>
        <w:t xml:space="preserve"> 2017</w:t>
      </w:r>
      <w:r w:rsidRPr="002C3C7A">
        <w:rPr>
          <w:rFonts w:ascii="Times New Roman" w:hAnsi="Times New Roman" w:cs="Times New Roman"/>
          <w:b/>
          <w:sz w:val="24"/>
          <w:szCs w:val="24"/>
        </w:rPr>
        <w:t xml:space="preserve">, the Commission identified imbalances in </w:t>
      </w:r>
      <w:r w:rsidR="00AF07B3">
        <w:rPr>
          <w:rFonts w:ascii="Times New Roman" w:hAnsi="Times New Roman" w:cs="Times New Roman"/>
          <w:b/>
          <w:sz w:val="24"/>
          <w:szCs w:val="24"/>
        </w:rPr>
        <w:t>12</w:t>
      </w:r>
      <w:r w:rsidR="00AF07B3" w:rsidRPr="002C3C7A">
        <w:rPr>
          <w:rFonts w:ascii="Times New Roman" w:hAnsi="Times New Roman" w:cs="Times New Roman"/>
          <w:b/>
          <w:sz w:val="24"/>
          <w:szCs w:val="24"/>
        </w:rPr>
        <w:t xml:space="preserve"> </w:t>
      </w:r>
      <w:r w:rsidRPr="002C3C7A">
        <w:rPr>
          <w:rFonts w:ascii="Times New Roman" w:hAnsi="Times New Roman" w:cs="Times New Roman"/>
          <w:b/>
          <w:sz w:val="24"/>
          <w:szCs w:val="24"/>
        </w:rPr>
        <w:t>Member States</w:t>
      </w:r>
      <w:r w:rsidR="00AF07B3">
        <w:rPr>
          <w:rFonts w:ascii="Times New Roman" w:hAnsi="Times New Roman" w:cs="Times New Roman"/>
          <w:b/>
          <w:sz w:val="24"/>
          <w:szCs w:val="24"/>
        </w:rPr>
        <w:t>;</w:t>
      </w:r>
      <w:r w:rsidRPr="002C3C7A">
        <w:rPr>
          <w:rFonts w:ascii="Times New Roman" w:hAnsi="Times New Roman" w:cs="Times New Roman"/>
          <w:b/>
          <w:sz w:val="24"/>
          <w:szCs w:val="24"/>
        </w:rPr>
        <w:t xml:space="preserve"> appropriate follow</w:t>
      </w:r>
      <w:r w:rsidR="00F52633">
        <w:rPr>
          <w:rFonts w:ascii="Times New Roman" w:hAnsi="Times New Roman" w:cs="Times New Roman"/>
          <w:b/>
          <w:sz w:val="24"/>
          <w:szCs w:val="24"/>
        </w:rPr>
        <w:t>-</w:t>
      </w:r>
      <w:r w:rsidRPr="002C3C7A">
        <w:rPr>
          <w:rFonts w:ascii="Times New Roman" w:hAnsi="Times New Roman" w:cs="Times New Roman"/>
          <w:b/>
          <w:sz w:val="24"/>
          <w:szCs w:val="24"/>
        </w:rPr>
        <w:t xml:space="preserve">up </w:t>
      </w:r>
      <w:r w:rsidR="00AF07B3">
        <w:rPr>
          <w:rFonts w:ascii="Times New Roman" w:hAnsi="Times New Roman" w:cs="Times New Roman"/>
          <w:b/>
          <w:sz w:val="24"/>
          <w:szCs w:val="24"/>
        </w:rPr>
        <w:t xml:space="preserve">forms part of </w:t>
      </w:r>
      <w:r w:rsidRPr="002C3C7A">
        <w:rPr>
          <w:rFonts w:ascii="Times New Roman" w:hAnsi="Times New Roman" w:cs="Times New Roman"/>
          <w:b/>
          <w:sz w:val="24"/>
          <w:szCs w:val="24"/>
        </w:rPr>
        <w:t>the country-specific recommendations</w:t>
      </w:r>
      <w:r w:rsidR="00F52633">
        <w:rPr>
          <w:rFonts w:ascii="Times New Roman" w:hAnsi="Times New Roman" w:cs="Times New Roman"/>
          <w:b/>
          <w:sz w:val="24"/>
          <w:szCs w:val="24"/>
        </w:rPr>
        <w:t xml:space="preserve">, </w:t>
      </w:r>
      <w:r w:rsidR="00F52633" w:rsidRPr="00C278FF">
        <w:rPr>
          <w:rFonts w:ascii="Times New Roman" w:hAnsi="Times New Roman" w:cs="Times New Roman"/>
          <w:sz w:val="24"/>
          <w:szCs w:val="24"/>
        </w:rPr>
        <w:t>where</w:t>
      </w:r>
      <w:r w:rsidR="00F52633" w:rsidRPr="00C43629">
        <w:rPr>
          <w:rFonts w:ascii="Times New Roman" w:hAnsi="Times New Roman" w:cs="Times New Roman"/>
          <w:sz w:val="24"/>
          <w:szCs w:val="24"/>
        </w:rPr>
        <w:t xml:space="preserve"> </w:t>
      </w:r>
      <w:r w:rsidR="00F52633" w:rsidRPr="002C3C7A">
        <w:rPr>
          <w:rFonts w:ascii="Times New Roman" w:hAnsi="Times New Roman" w:cs="Times New Roman"/>
          <w:sz w:val="24"/>
          <w:szCs w:val="24"/>
        </w:rPr>
        <w:t xml:space="preserve">challenges identified in the macroeconomic imbalance procedure </w:t>
      </w:r>
      <w:r w:rsidR="00F52633">
        <w:rPr>
          <w:rFonts w:ascii="Times New Roman" w:hAnsi="Times New Roman" w:cs="Times New Roman"/>
          <w:sz w:val="24"/>
          <w:szCs w:val="24"/>
        </w:rPr>
        <w:t>are referred to</w:t>
      </w:r>
      <w:r w:rsidR="00F52633" w:rsidRPr="002C3C7A">
        <w:rPr>
          <w:rFonts w:ascii="Times New Roman" w:hAnsi="Times New Roman" w:cs="Times New Roman"/>
          <w:sz w:val="24"/>
          <w:szCs w:val="24"/>
        </w:rPr>
        <w:t>.</w:t>
      </w:r>
      <w:r w:rsidR="00F52633">
        <w:rPr>
          <w:rFonts w:ascii="Times New Roman" w:hAnsi="Times New Roman" w:cs="Times New Roman"/>
          <w:sz w:val="24"/>
          <w:szCs w:val="24"/>
        </w:rPr>
        <w:t xml:space="preserve"> </w:t>
      </w:r>
      <w:r w:rsidRPr="002C3C7A">
        <w:rPr>
          <w:rFonts w:ascii="Times New Roman" w:hAnsi="Times New Roman" w:cs="Times New Roman"/>
          <w:sz w:val="24"/>
          <w:szCs w:val="24"/>
        </w:rPr>
        <w:t>In-depth reviews</w:t>
      </w:r>
      <w:r w:rsidRPr="002C3C7A">
        <w:rPr>
          <w:rFonts w:ascii="Times New Roman" w:hAnsi="Times New Roman" w:cs="Times New Roman"/>
          <w:b/>
          <w:sz w:val="24"/>
          <w:szCs w:val="24"/>
        </w:rPr>
        <w:t xml:space="preserve"> </w:t>
      </w:r>
      <w:r w:rsidRPr="002C3C7A">
        <w:rPr>
          <w:rFonts w:ascii="Times New Roman" w:hAnsi="Times New Roman" w:cs="Times New Roman"/>
          <w:sz w:val="24"/>
          <w:szCs w:val="24"/>
        </w:rPr>
        <w:t xml:space="preserve">were carried out for 13 Member States. It was concluded that Finland is no longer experiencing imbalances, while six are experiencing imbalances (Germany, </w:t>
      </w:r>
      <w:r w:rsidR="00AF07B3">
        <w:rPr>
          <w:rFonts w:ascii="Times New Roman" w:hAnsi="Times New Roman" w:cs="Times New Roman"/>
          <w:sz w:val="24"/>
          <w:szCs w:val="24"/>
        </w:rPr>
        <w:t xml:space="preserve">Ireland, </w:t>
      </w:r>
      <w:r w:rsidRPr="002C3C7A">
        <w:rPr>
          <w:rFonts w:ascii="Times New Roman" w:hAnsi="Times New Roman" w:cs="Times New Roman"/>
          <w:sz w:val="24"/>
          <w:szCs w:val="24"/>
        </w:rPr>
        <w:t xml:space="preserve">Spain, the Netherlands, </w:t>
      </w:r>
      <w:r w:rsidR="00AF07B3" w:rsidRPr="002C3C7A">
        <w:rPr>
          <w:rFonts w:ascii="Times New Roman" w:hAnsi="Times New Roman" w:cs="Times New Roman"/>
          <w:sz w:val="24"/>
          <w:szCs w:val="24"/>
        </w:rPr>
        <w:t xml:space="preserve">Slovenia </w:t>
      </w:r>
      <w:r w:rsidR="00AF07B3">
        <w:rPr>
          <w:rFonts w:ascii="Times New Roman" w:hAnsi="Times New Roman" w:cs="Times New Roman"/>
          <w:sz w:val="24"/>
          <w:szCs w:val="24"/>
        </w:rPr>
        <w:t xml:space="preserve">and </w:t>
      </w:r>
      <w:r w:rsidRPr="002C3C7A">
        <w:rPr>
          <w:rFonts w:ascii="Times New Roman" w:hAnsi="Times New Roman" w:cs="Times New Roman"/>
          <w:sz w:val="24"/>
          <w:szCs w:val="24"/>
        </w:rPr>
        <w:t xml:space="preserve">Sweden) and six are experiencing excessive imbalances (Bulgaria, </w:t>
      </w:r>
      <w:r w:rsidR="00AF07B3">
        <w:rPr>
          <w:rFonts w:ascii="Times New Roman" w:hAnsi="Times New Roman" w:cs="Times New Roman"/>
          <w:sz w:val="24"/>
          <w:szCs w:val="24"/>
        </w:rPr>
        <w:t xml:space="preserve">France, Croatia, Italy, </w:t>
      </w:r>
      <w:r w:rsidRPr="002C3C7A">
        <w:rPr>
          <w:rFonts w:ascii="Times New Roman" w:hAnsi="Times New Roman" w:cs="Times New Roman"/>
          <w:sz w:val="24"/>
          <w:szCs w:val="24"/>
        </w:rPr>
        <w:t xml:space="preserve">Cyprus </w:t>
      </w:r>
      <w:r w:rsidR="00AF07B3">
        <w:rPr>
          <w:rFonts w:ascii="Times New Roman" w:hAnsi="Times New Roman" w:cs="Times New Roman"/>
          <w:sz w:val="24"/>
          <w:szCs w:val="24"/>
        </w:rPr>
        <w:t xml:space="preserve">and </w:t>
      </w:r>
      <w:r w:rsidRPr="002C3C7A">
        <w:rPr>
          <w:rFonts w:ascii="Times New Roman" w:hAnsi="Times New Roman" w:cs="Times New Roman"/>
          <w:sz w:val="24"/>
          <w:szCs w:val="24"/>
        </w:rPr>
        <w:t xml:space="preserve">Portugal). For Cyprus, Italy and Portugal, the Commission announced in February that it would review its assessment, taking into account the level of ambition of their National Reform Programmes. </w:t>
      </w:r>
    </w:p>
    <w:p w:rsidR="00880F92" w:rsidRPr="00880F92" w:rsidRDefault="00880F92" w:rsidP="007B4CD1">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0"/>
          <w:szCs w:val="20"/>
        </w:rPr>
      </w:pPr>
      <w:r w:rsidRPr="00880F92">
        <w:rPr>
          <w:rFonts w:ascii="Times New Roman" w:hAnsi="Times New Roman" w:cs="Times New Roman"/>
          <w:b/>
          <w:sz w:val="20"/>
          <w:szCs w:val="20"/>
        </w:rPr>
        <w:t>Box 1. Assessment of National Reform Programmes of Italy, Cyprus and Portugal</w:t>
      </w:r>
    </w:p>
    <w:p w:rsidR="00880F92" w:rsidRPr="002C3C7A" w:rsidRDefault="00880F92" w:rsidP="007B4CD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2C3C7A">
        <w:rPr>
          <w:rFonts w:ascii="Times New Roman" w:hAnsi="Times New Roman" w:cs="Times New Roman"/>
          <w:sz w:val="24"/>
          <w:szCs w:val="24"/>
        </w:rPr>
        <w:t>In February</w:t>
      </w:r>
      <w:r>
        <w:rPr>
          <w:rFonts w:ascii="Times New Roman" w:hAnsi="Times New Roman" w:cs="Times New Roman"/>
          <w:sz w:val="24"/>
          <w:szCs w:val="24"/>
        </w:rPr>
        <w:t xml:space="preserve"> 2017</w:t>
      </w:r>
      <w:r w:rsidRPr="002C3C7A">
        <w:rPr>
          <w:rFonts w:ascii="Times New Roman" w:hAnsi="Times New Roman" w:cs="Times New Roman"/>
          <w:sz w:val="24"/>
          <w:szCs w:val="24"/>
        </w:rPr>
        <w:t xml:space="preserve">, the Commission announced that </w:t>
      </w:r>
      <w:r>
        <w:rPr>
          <w:rFonts w:ascii="Times New Roman" w:hAnsi="Times New Roman" w:cs="Times New Roman"/>
          <w:sz w:val="24"/>
          <w:szCs w:val="24"/>
        </w:rPr>
        <w:t xml:space="preserve">Italy, </w:t>
      </w:r>
      <w:r w:rsidRPr="002C3C7A">
        <w:rPr>
          <w:rFonts w:ascii="Times New Roman" w:hAnsi="Times New Roman" w:cs="Times New Roman"/>
          <w:sz w:val="24"/>
          <w:szCs w:val="24"/>
        </w:rPr>
        <w:t xml:space="preserve">Cyprus, and Portugal were experiencing excessive imbalances and that, in </w:t>
      </w:r>
      <w:r>
        <w:rPr>
          <w:rFonts w:ascii="Times New Roman" w:hAnsi="Times New Roman" w:cs="Times New Roman"/>
          <w:sz w:val="24"/>
          <w:szCs w:val="24"/>
        </w:rPr>
        <w:t xml:space="preserve">the </w:t>
      </w:r>
      <w:r w:rsidRPr="002C3C7A">
        <w:rPr>
          <w:rFonts w:ascii="Times New Roman" w:hAnsi="Times New Roman" w:cs="Times New Roman"/>
          <w:sz w:val="24"/>
          <w:szCs w:val="24"/>
        </w:rPr>
        <w:t xml:space="preserve">light of persistent structural weaknesses emerging from the analysis in the in-depth reviews, it would review this assessment in May. The Commission has continued to monitor developments in these three countries, notably the policy commitments outlined in their National Reform Programmes, which </w:t>
      </w:r>
      <w:r>
        <w:rPr>
          <w:rFonts w:ascii="Times New Roman" w:hAnsi="Times New Roman" w:cs="Times New Roman"/>
          <w:sz w:val="24"/>
          <w:szCs w:val="24"/>
        </w:rPr>
        <w:t xml:space="preserve">they </w:t>
      </w:r>
      <w:r w:rsidRPr="002C3C7A">
        <w:rPr>
          <w:rFonts w:ascii="Times New Roman" w:hAnsi="Times New Roman" w:cs="Times New Roman"/>
          <w:sz w:val="24"/>
          <w:szCs w:val="24"/>
        </w:rPr>
        <w:t xml:space="preserve">submitted in April. </w:t>
      </w:r>
    </w:p>
    <w:p w:rsidR="00880F92" w:rsidRPr="002C3C7A" w:rsidRDefault="00880F92" w:rsidP="007B4CD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2C3C7A">
        <w:rPr>
          <w:rFonts w:ascii="Times New Roman" w:hAnsi="Times New Roman" w:cs="Times New Roman"/>
          <w:sz w:val="24"/>
          <w:szCs w:val="24"/>
        </w:rPr>
        <w:lastRenderedPageBreak/>
        <w:t>Cyprus</w:t>
      </w:r>
      <w:r>
        <w:rPr>
          <w:rFonts w:ascii="Times New Roman" w:hAnsi="Times New Roman" w:cs="Times New Roman"/>
          <w:sz w:val="24"/>
          <w:szCs w:val="24"/>
        </w:rPr>
        <w:t>’s programme</w:t>
      </w:r>
      <w:r w:rsidRPr="002C3C7A">
        <w:rPr>
          <w:rFonts w:ascii="Times New Roman" w:hAnsi="Times New Roman" w:cs="Times New Roman"/>
          <w:sz w:val="24"/>
          <w:szCs w:val="24"/>
        </w:rPr>
        <w:t xml:space="preserve"> details the policy initiatives envisaged over the short and medium term to tackle other economic and structural challenges</w:t>
      </w:r>
      <w:r>
        <w:rPr>
          <w:rFonts w:ascii="Times New Roman" w:hAnsi="Times New Roman" w:cs="Times New Roman"/>
          <w:sz w:val="24"/>
          <w:szCs w:val="24"/>
        </w:rPr>
        <w:t>. These will be addressed</w:t>
      </w:r>
      <w:r w:rsidRPr="002C3C7A">
        <w:rPr>
          <w:rFonts w:ascii="Times New Roman" w:hAnsi="Times New Roman" w:cs="Times New Roman"/>
          <w:sz w:val="24"/>
          <w:szCs w:val="24"/>
        </w:rPr>
        <w:t xml:space="preserve"> notably by </w:t>
      </w:r>
      <w:r>
        <w:rPr>
          <w:rFonts w:ascii="Times New Roman" w:hAnsi="Times New Roman" w:cs="Times New Roman"/>
          <w:sz w:val="24"/>
          <w:szCs w:val="24"/>
        </w:rPr>
        <w:t xml:space="preserve">making </w:t>
      </w:r>
      <w:r w:rsidRPr="002C3C7A">
        <w:rPr>
          <w:rFonts w:ascii="Times New Roman" w:hAnsi="Times New Roman" w:cs="Times New Roman"/>
          <w:sz w:val="24"/>
          <w:szCs w:val="24"/>
        </w:rPr>
        <w:t>the public sector</w:t>
      </w:r>
      <w:r>
        <w:rPr>
          <w:rFonts w:ascii="Times New Roman" w:hAnsi="Times New Roman" w:cs="Times New Roman"/>
          <w:sz w:val="24"/>
          <w:szCs w:val="24"/>
        </w:rPr>
        <w:t xml:space="preserve"> more efficient</w:t>
      </w:r>
      <w:r w:rsidRPr="002C3C7A">
        <w:rPr>
          <w:rFonts w:ascii="Times New Roman" w:hAnsi="Times New Roman" w:cs="Times New Roman"/>
          <w:sz w:val="24"/>
          <w:szCs w:val="24"/>
        </w:rPr>
        <w:t xml:space="preserve">, </w:t>
      </w:r>
      <w:r>
        <w:rPr>
          <w:rFonts w:ascii="Times New Roman" w:hAnsi="Times New Roman" w:cs="Times New Roman"/>
          <w:sz w:val="24"/>
          <w:szCs w:val="24"/>
        </w:rPr>
        <w:t xml:space="preserve">making </w:t>
      </w:r>
      <w:r w:rsidRPr="002C3C7A">
        <w:rPr>
          <w:rFonts w:ascii="Times New Roman" w:hAnsi="Times New Roman" w:cs="Times New Roman"/>
          <w:sz w:val="24"/>
          <w:szCs w:val="24"/>
        </w:rPr>
        <w:t>the functioning of the insolvency framework</w:t>
      </w:r>
      <w:r>
        <w:rPr>
          <w:rFonts w:ascii="Times New Roman" w:hAnsi="Times New Roman" w:cs="Times New Roman"/>
          <w:sz w:val="24"/>
          <w:szCs w:val="24"/>
        </w:rPr>
        <w:t xml:space="preserve"> function better</w:t>
      </w:r>
      <w:r w:rsidRPr="002C3C7A">
        <w:rPr>
          <w:rFonts w:ascii="Times New Roman" w:hAnsi="Times New Roman" w:cs="Times New Roman"/>
          <w:sz w:val="24"/>
          <w:szCs w:val="24"/>
        </w:rPr>
        <w:t xml:space="preserve">, </w:t>
      </w:r>
      <w:bookmarkStart w:id="1" w:name="OLE_LINK1"/>
      <w:r w:rsidRPr="002C3C7A">
        <w:rPr>
          <w:rFonts w:ascii="Times New Roman" w:hAnsi="Times New Roman" w:cs="Times New Roman"/>
          <w:sz w:val="24"/>
          <w:szCs w:val="24"/>
        </w:rPr>
        <w:t>streamlin</w:t>
      </w:r>
      <w:r>
        <w:rPr>
          <w:rFonts w:ascii="Times New Roman" w:hAnsi="Times New Roman" w:cs="Times New Roman"/>
          <w:sz w:val="24"/>
          <w:szCs w:val="24"/>
        </w:rPr>
        <w:t>ing</w:t>
      </w:r>
      <w:r w:rsidRPr="002C3C7A">
        <w:rPr>
          <w:rFonts w:ascii="Times New Roman" w:hAnsi="Times New Roman" w:cs="Times New Roman"/>
          <w:sz w:val="24"/>
          <w:szCs w:val="24"/>
        </w:rPr>
        <w:t xml:space="preserve"> the issuance and transfer of title deeds </w:t>
      </w:r>
      <w:bookmarkEnd w:id="1"/>
      <w:r w:rsidRPr="002C3C7A">
        <w:rPr>
          <w:rFonts w:ascii="Times New Roman" w:hAnsi="Times New Roman" w:cs="Times New Roman"/>
          <w:sz w:val="24"/>
          <w:szCs w:val="24"/>
        </w:rPr>
        <w:t>and modernis</w:t>
      </w:r>
      <w:r>
        <w:rPr>
          <w:rFonts w:ascii="Times New Roman" w:hAnsi="Times New Roman" w:cs="Times New Roman"/>
          <w:sz w:val="24"/>
          <w:szCs w:val="24"/>
        </w:rPr>
        <w:t>ing</w:t>
      </w:r>
      <w:r w:rsidRPr="002C3C7A">
        <w:rPr>
          <w:rFonts w:ascii="Times New Roman" w:hAnsi="Times New Roman" w:cs="Times New Roman"/>
          <w:sz w:val="24"/>
          <w:szCs w:val="24"/>
        </w:rPr>
        <w:t xml:space="preserve"> the justice system. The </w:t>
      </w:r>
      <w:r>
        <w:rPr>
          <w:rFonts w:ascii="Times New Roman" w:hAnsi="Times New Roman" w:cs="Times New Roman"/>
          <w:sz w:val="24"/>
          <w:szCs w:val="24"/>
        </w:rPr>
        <w:t xml:space="preserve">programme </w:t>
      </w:r>
      <w:r w:rsidRPr="002C3C7A">
        <w:rPr>
          <w:rFonts w:ascii="Times New Roman" w:hAnsi="Times New Roman" w:cs="Times New Roman"/>
          <w:sz w:val="24"/>
          <w:szCs w:val="24"/>
        </w:rPr>
        <w:t xml:space="preserve">also presents policy measures to </w:t>
      </w:r>
      <w:r>
        <w:rPr>
          <w:rFonts w:ascii="Times New Roman" w:hAnsi="Times New Roman" w:cs="Times New Roman"/>
          <w:sz w:val="24"/>
          <w:szCs w:val="24"/>
        </w:rPr>
        <w:t xml:space="preserve">improve </w:t>
      </w:r>
      <w:r w:rsidRPr="002C3C7A">
        <w:rPr>
          <w:rFonts w:ascii="Times New Roman" w:hAnsi="Times New Roman" w:cs="Times New Roman"/>
          <w:sz w:val="24"/>
          <w:szCs w:val="24"/>
        </w:rPr>
        <w:t xml:space="preserve">competitiveness and remove </w:t>
      </w:r>
      <w:r>
        <w:rPr>
          <w:rFonts w:ascii="Times New Roman" w:hAnsi="Times New Roman" w:cs="Times New Roman"/>
          <w:sz w:val="24"/>
          <w:szCs w:val="24"/>
        </w:rPr>
        <w:t xml:space="preserve">barriers </w:t>
      </w:r>
      <w:r w:rsidRPr="002C3C7A">
        <w:rPr>
          <w:rFonts w:ascii="Times New Roman" w:hAnsi="Times New Roman" w:cs="Times New Roman"/>
          <w:sz w:val="24"/>
          <w:szCs w:val="24"/>
        </w:rPr>
        <w:t xml:space="preserve">to investment, </w:t>
      </w:r>
      <w:r>
        <w:rPr>
          <w:rFonts w:ascii="Times New Roman" w:hAnsi="Times New Roman" w:cs="Times New Roman"/>
          <w:sz w:val="24"/>
          <w:szCs w:val="24"/>
        </w:rPr>
        <w:t xml:space="preserve">in particular by </w:t>
      </w:r>
      <w:r w:rsidRPr="002C3C7A">
        <w:rPr>
          <w:rFonts w:ascii="Times New Roman" w:hAnsi="Times New Roman" w:cs="Times New Roman"/>
          <w:sz w:val="24"/>
          <w:szCs w:val="24"/>
        </w:rPr>
        <w:t xml:space="preserve">continuing </w:t>
      </w:r>
      <w:r>
        <w:rPr>
          <w:rFonts w:ascii="Times New Roman" w:hAnsi="Times New Roman" w:cs="Times New Roman"/>
          <w:sz w:val="24"/>
          <w:szCs w:val="24"/>
        </w:rPr>
        <w:t xml:space="preserve">to </w:t>
      </w:r>
      <w:r w:rsidRPr="002C3C7A">
        <w:rPr>
          <w:rFonts w:ascii="Times New Roman" w:hAnsi="Times New Roman" w:cs="Times New Roman"/>
          <w:sz w:val="24"/>
          <w:szCs w:val="24"/>
        </w:rPr>
        <w:t xml:space="preserve">implement the action plan for growth. Although many reform commitments appear </w:t>
      </w:r>
      <w:r w:rsidRPr="00880F92">
        <w:rPr>
          <w:rFonts w:ascii="Times New Roman" w:hAnsi="Times New Roman" w:cs="Times New Roman"/>
          <w:sz w:val="24"/>
          <w:szCs w:val="24"/>
        </w:rPr>
        <w:t>sufficiently</w:t>
      </w:r>
      <w:r w:rsidRPr="002C3C7A">
        <w:rPr>
          <w:rFonts w:ascii="Times New Roman" w:hAnsi="Times New Roman" w:cs="Times New Roman"/>
          <w:i/>
          <w:sz w:val="24"/>
          <w:szCs w:val="24"/>
        </w:rPr>
        <w:t xml:space="preserve"> </w:t>
      </w:r>
      <w:r w:rsidRPr="002C3C7A">
        <w:rPr>
          <w:rFonts w:ascii="Times New Roman" w:hAnsi="Times New Roman" w:cs="Times New Roman"/>
          <w:sz w:val="24"/>
          <w:szCs w:val="24"/>
        </w:rPr>
        <w:t>ambitious to tackle Cyprus</w:t>
      </w:r>
      <w:r>
        <w:rPr>
          <w:rFonts w:ascii="Times New Roman" w:hAnsi="Times New Roman" w:cs="Times New Roman"/>
          <w:sz w:val="24"/>
          <w:szCs w:val="24"/>
        </w:rPr>
        <w:t>’s</w:t>
      </w:r>
      <w:r w:rsidRPr="002C3C7A">
        <w:rPr>
          <w:rFonts w:ascii="Times New Roman" w:hAnsi="Times New Roman" w:cs="Times New Roman"/>
          <w:sz w:val="24"/>
          <w:szCs w:val="24"/>
        </w:rPr>
        <w:t xml:space="preserve"> challenges, details </w:t>
      </w:r>
      <w:r>
        <w:rPr>
          <w:rFonts w:ascii="Times New Roman" w:hAnsi="Times New Roman" w:cs="Times New Roman"/>
          <w:sz w:val="24"/>
          <w:szCs w:val="24"/>
        </w:rPr>
        <w:t xml:space="preserve">of when they will be adopted and implemented </w:t>
      </w:r>
      <w:r w:rsidRPr="002C3C7A">
        <w:rPr>
          <w:rFonts w:ascii="Times New Roman" w:hAnsi="Times New Roman" w:cs="Times New Roman"/>
          <w:sz w:val="24"/>
          <w:szCs w:val="24"/>
        </w:rPr>
        <w:t>are generally lacking.</w:t>
      </w:r>
    </w:p>
    <w:p w:rsidR="00880F92" w:rsidRPr="002C3C7A" w:rsidRDefault="00880F92" w:rsidP="007B4CD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2C3C7A">
        <w:rPr>
          <w:rFonts w:ascii="Times New Roman" w:hAnsi="Times New Roman" w:cs="Times New Roman"/>
          <w:sz w:val="24"/>
          <w:szCs w:val="24"/>
        </w:rPr>
        <w:t>Italy</w:t>
      </w:r>
      <w:r>
        <w:rPr>
          <w:rFonts w:ascii="Times New Roman" w:hAnsi="Times New Roman" w:cs="Times New Roman"/>
          <w:sz w:val="24"/>
          <w:szCs w:val="24"/>
        </w:rPr>
        <w:t xml:space="preserve">’s </w:t>
      </w:r>
      <w:r w:rsidRPr="002C3C7A">
        <w:rPr>
          <w:rFonts w:ascii="Times New Roman" w:hAnsi="Times New Roman" w:cs="Times New Roman"/>
          <w:sz w:val="24"/>
          <w:szCs w:val="24"/>
        </w:rPr>
        <w:t xml:space="preserve">2017 </w:t>
      </w:r>
      <w:r>
        <w:rPr>
          <w:rFonts w:ascii="Times New Roman" w:hAnsi="Times New Roman" w:cs="Times New Roman"/>
          <w:sz w:val="24"/>
          <w:szCs w:val="24"/>
        </w:rPr>
        <w:t xml:space="preserve">reform programme </w:t>
      </w:r>
      <w:r w:rsidRPr="002C3C7A">
        <w:rPr>
          <w:rFonts w:ascii="Times New Roman" w:hAnsi="Times New Roman" w:cs="Times New Roman"/>
          <w:sz w:val="24"/>
          <w:szCs w:val="24"/>
        </w:rPr>
        <w:t xml:space="preserve">presents short and medium term commitments, in continuity with previous </w:t>
      </w:r>
      <w:r>
        <w:rPr>
          <w:rFonts w:ascii="Times New Roman" w:hAnsi="Times New Roman" w:cs="Times New Roman"/>
          <w:sz w:val="24"/>
          <w:szCs w:val="24"/>
        </w:rPr>
        <w:t>such programmes</w:t>
      </w:r>
      <w:r w:rsidRPr="002C3C7A">
        <w:rPr>
          <w:rFonts w:ascii="Times New Roman" w:hAnsi="Times New Roman" w:cs="Times New Roman"/>
          <w:sz w:val="24"/>
          <w:szCs w:val="24"/>
        </w:rPr>
        <w:t xml:space="preserve">. Measures to be taken by mid-2017 include final adoption of the pending laws </w:t>
      </w:r>
      <w:r>
        <w:rPr>
          <w:rFonts w:ascii="Times New Roman" w:hAnsi="Times New Roman" w:cs="Times New Roman"/>
          <w:sz w:val="24"/>
          <w:szCs w:val="24"/>
        </w:rPr>
        <w:t xml:space="preserve">on </w:t>
      </w:r>
      <w:r w:rsidRPr="002C3C7A">
        <w:rPr>
          <w:rFonts w:ascii="Times New Roman" w:hAnsi="Times New Roman" w:cs="Times New Roman"/>
          <w:sz w:val="24"/>
          <w:szCs w:val="24"/>
        </w:rPr>
        <w:t>competition</w:t>
      </w:r>
      <w:r>
        <w:rPr>
          <w:rFonts w:ascii="Times New Roman" w:hAnsi="Times New Roman" w:cs="Times New Roman"/>
          <w:sz w:val="24"/>
          <w:szCs w:val="24"/>
        </w:rPr>
        <w:t>,</w:t>
      </w:r>
      <w:r w:rsidRPr="002C3C7A">
        <w:rPr>
          <w:rFonts w:ascii="Times New Roman" w:hAnsi="Times New Roman" w:cs="Times New Roman"/>
          <w:sz w:val="24"/>
          <w:szCs w:val="24"/>
        </w:rPr>
        <w:t xml:space="preserve"> reform of criminal process and </w:t>
      </w:r>
      <w:r>
        <w:rPr>
          <w:rFonts w:ascii="Times New Roman" w:hAnsi="Times New Roman" w:cs="Times New Roman"/>
          <w:sz w:val="24"/>
          <w:szCs w:val="24"/>
        </w:rPr>
        <w:t xml:space="preserve">the </w:t>
      </w:r>
      <w:r w:rsidRPr="002C3C7A">
        <w:rPr>
          <w:rFonts w:ascii="Times New Roman" w:hAnsi="Times New Roman" w:cs="Times New Roman"/>
          <w:sz w:val="24"/>
          <w:szCs w:val="24"/>
        </w:rPr>
        <w:t xml:space="preserve">statutes of limitation, </w:t>
      </w:r>
      <w:r>
        <w:rPr>
          <w:rFonts w:ascii="Times New Roman" w:hAnsi="Times New Roman" w:cs="Times New Roman"/>
          <w:sz w:val="24"/>
          <w:szCs w:val="24"/>
        </w:rPr>
        <w:t xml:space="preserve">and </w:t>
      </w:r>
      <w:r w:rsidRPr="002C3C7A">
        <w:rPr>
          <w:rFonts w:ascii="Times New Roman" w:hAnsi="Times New Roman" w:cs="Times New Roman"/>
          <w:sz w:val="24"/>
          <w:szCs w:val="24"/>
        </w:rPr>
        <w:t>implementation of the anti-poverty law</w:t>
      </w:r>
      <w:r>
        <w:rPr>
          <w:rFonts w:ascii="Times New Roman" w:hAnsi="Times New Roman" w:cs="Times New Roman"/>
          <w:sz w:val="24"/>
          <w:szCs w:val="24"/>
        </w:rPr>
        <w:t>.</w:t>
      </w:r>
      <w:r w:rsidRPr="002C3C7A">
        <w:rPr>
          <w:rFonts w:ascii="Times New Roman" w:hAnsi="Times New Roman" w:cs="Times New Roman"/>
          <w:sz w:val="24"/>
          <w:szCs w:val="24"/>
        </w:rPr>
        <w:t xml:space="preserve"> </w:t>
      </w:r>
      <w:r>
        <w:rPr>
          <w:rFonts w:ascii="Times New Roman" w:hAnsi="Times New Roman" w:cs="Times New Roman"/>
          <w:sz w:val="24"/>
          <w:szCs w:val="24"/>
        </w:rPr>
        <w:t>M</w:t>
      </w:r>
      <w:r w:rsidRPr="002C3C7A">
        <w:rPr>
          <w:rFonts w:ascii="Times New Roman" w:hAnsi="Times New Roman" w:cs="Times New Roman"/>
          <w:sz w:val="24"/>
          <w:szCs w:val="24"/>
        </w:rPr>
        <w:t xml:space="preserve">easures related to firm-level bargaining, tax shift and privatisation are </w:t>
      </w:r>
      <w:r>
        <w:rPr>
          <w:rFonts w:ascii="Times New Roman" w:hAnsi="Times New Roman" w:cs="Times New Roman"/>
          <w:sz w:val="24"/>
          <w:szCs w:val="24"/>
        </w:rPr>
        <w:t xml:space="preserve">also </w:t>
      </w:r>
      <w:r w:rsidRPr="002C3C7A">
        <w:rPr>
          <w:rFonts w:ascii="Times New Roman" w:hAnsi="Times New Roman" w:cs="Times New Roman"/>
          <w:sz w:val="24"/>
          <w:szCs w:val="24"/>
        </w:rPr>
        <w:t xml:space="preserve">planned. Over the medium term, the </w:t>
      </w:r>
      <w:r>
        <w:rPr>
          <w:rFonts w:ascii="Times New Roman" w:hAnsi="Times New Roman" w:cs="Times New Roman"/>
          <w:sz w:val="24"/>
          <w:szCs w:val="24"/>
        </w:rPr>
        <w:t xml:space="preserve">programme </w:t>
      </w:r>
      <w:r w:rsidRPr="002C3C7A">
        <w:rPr>
          <w:rFonts w:ascii="Times New Roman" w:hAnsi="Times New Roman" w:cs="Times New Roman"/>
          <w:sz w:val="24"/>
          <w:szCs w:val="24"/>
        </w:rPr>
        <w:t>targets in particular public finance, taxation,</w:t>
      </w:r>
      <w:r>
        <w:rPr>
          <w:rFonts w:ascii="Times New Roman" w:hAnsi="Times New Roman" w:cs="Times New Roman"/>
          <w:sz w:val="24"/>
          <w:szCs w:val="24"/>
        </w:rPr>
        <w:t xml:space="preserve"> the</w:t>
      </w:r>
      <w:r w:rsidRPr="002C3C7A">
        <w:rPr>
          <w:rFonts w:ascii="Times New Roman" w:hAnsi="Times New Roman" w:cs="Times New Roman"/>
          <w:sz w:val="24"/>
          <w:szCs w:val="24"/>
        </w:rPr>
        <w:t xml:space="preserve"> labour market, </w:t>
      </w:r>
      <w:r>
        <w:rPr>
          <w:rFonts w:ascii="Times New Roman" w:hAnsi="Times New Roman" w:cs="Times New Roman"/>
          <w:sz w:val="24"/>
          <w:szCs w:val="24"/>
        </w:rPr>
        <w:t xml:space="preserve">the </w:t>
      </w:r>
      <w:r w:rsidRPr="002C3C7A">
        <w:rPr>
          <w:rFonts w:ascii="Times New Roman" w:hAnsi="Times New Roman" w:cs="Times New Roman"/>
          <w:sz w:val="24"/>
          <w:szCs w:val="24"/>
        </w:rPr>
        <w:t xml:space="preserve">banking and </w:t>
      </w:r>
      <w:r>
        <w:rPr>
          <w:rFonts w:ascii="Times New Roman" w:hAnsi="Times New Roman" w:cs="Times New Roman"/>
          <w:sz w:val="24"/>
          <w:szCs w:val="24"/>
        </w:rPr>
        <w:t xml:space="preserve">the </w:t>
      </w:r>
      <w:r w:rsidRPr="002C3C7A">
        <w:rPr>
          <w:rFonts w:ascii="Times New Roman" w:hAnsi="Times New Roman" w:cs="Times New Roman"/>
          <w:sz w:val="24"/>
          <w:szCs w:val="24"/>
        </w:rPr>
        <w:t xml:space="preserve">credit system, competition, </w:t>
      </w:r>
      <w:r>
        <w:rPr>
          <w:rFonts w:ascii="Times New Roman" w:hAnsi="Times New Roman" w:cs="Times New Roman"/>
          <w:sz w:val="24"/>
          <w:szCs w:val="24"/>
        </w:rPr>
        <w:t xml:space="preserve">the </w:t>
      </w:r>
      <w:r w:rsidRPr="002C3C7A">
        <w:rPr>
          <w:rFonts w:ascii="Times New Roman" w:hAnsi="Times New Roman" w:cs="Times New Roman"/>
          <w:sz w:val="24"/>
          <w:szCs w:val="24"/>
        </w:rPr>
        <w:t xml:space="preserve">public administration and </w:t>
      </w:r>
      <w:r>
        <w:rPr>
          <w:rFonts w:ascii="Times New Roman" w:hAnsi="Times New Roman" w:cs="Times New Roman"/>
          <w:sz w:val="24"/>
          <w:szCs w:val="24"/>
        </w:rPr>
        <w:t xml:space="preserve">the </w:t>
      </w:r>
      <w:r w:rsidRPr="002C3C7A">
        <w:rPr>
          <w:rFonts w:ascii="Times New Roman" w:hAnsi="Times New Roman" w:cs="Times New Roman"/>
          <w:sz w:val="24"/>
          <w:szCs w:val="24"/>
        </w:rPr>
        <w:t xml:space="preserve">justice system, and investment. Although many reform commitments appear </w:t>
      </w:r>
      <w:r w:rsidRPr="00880F92">
        <w:rPr>
          <w:rFonts w:ascii="Times New Roman" w:hAnsi="Times New Roman" w:cs="Times New Roman"/>
          <w:sz w:val="24"/>
          <w:szCs w:val="24"/>
        </w:rPr>
        <w:t>sufficiently</w:t>
      </w:r>
      <w:r w:rsidRPr="002C3C7A">
        <w:rPr>
          <w:rFonts w:ascii="Times New Roman" w:hAnsi="Times New Roman" w:cs="Times New Roman"/>
          <w:i/>
          <w:sz w:val="24"/>
          <w:szCs w:val="24"/>
        </w:rPr>
        <w:t xml:space="preserve"> </w:t>
      </w:r>
      <w:r w:rsidRPr="002C3C7A">
        <w:rPr>
          <w:rFonts w:ascii="Times New Roman" w:hAnsi="Times New Roman" w:cs="Times New Roman"/>
          <w:sz w:val="24"/>
          <w:szCs w:val="24"/>
        </w:rPr>
        <w:t>ambitious to tackle Italy's challenges</w:t>
      </w:r>
      <w:r w:rsidRPr="00B0150F">
        <w:rPr>
          <w:rFonts w:ascii="Times New Roman" w:hAnsi="Times New Roman" w:cs="Times New Roman"/>
          <w:sz w:val="24"/>
          <w:szCs w:val="24"/>
        </w:rPr>
        <w:t xml:space="preserve"> </w:t>
      </w:r>
      <w:r w:rsidRPr="002C3C7A">
        <w:rPr>
          <w:rFonts w:ascii="Times New Roman" w:hAnsi="Times New Roman" w:cs="Times New Roman"/>
          <w:sz w:val="24"/>
          <w:szCs w:val="24"/>
        </w:rPr>
        <w:t xml:space="preserve">appropriately, </w:t>
      </w:r>
      <w:r>
        <w:rPr>
          <w:rFonts w:ascii="Times New Roman" w:hAnsi="Times New Roman" w:cs="Times New Roman"/>
          <w:sz w:val="24"/>
          <w:szCs w:val="24"/>
        </w:rPr>
        <w:t xml:space="preserve">their </w:t>
      </w:r>
      <w:r w:rsidRPr="002C3C7A">
        <w:rPr>
          <w:rFonts w:ascii="Times New Roman" w:hAnsi="Times New Roman" w:cs="Times New Roman"/>
          <w:sz w:val="24"/>
          <w:szCs w:val="24"/>
        </w:rPr>
        <w:t xml:space="preserve">credibility hinges on </w:t>
      </w:r>
      <w:r>
        <w:rPr>
          <w:rFonts w:ascii="Times New Roman" w:hAnsi="Times New Roman" w:cs="Times New Roman"/>
          <w:sz w:val="24"/>
          <w:szCs w:val="24"/>
        </w:rPr>
        <w:t>being implemented in practice.</w:t>
      </w:r>
    </w:p>
    <w:p w:rsidR="00880F92" w:rsidRPr="002C3C7A" w:rsidRDefault="00880F92" w:rsidP="007B4CD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2C3C7A">
        <w:rPr>
          <w:rFonts w:ascii="Times New Roman" w:hAnsi="Times New Roman" w:cs="Times New Roman"/>
          <w:sz w:val="24"/>
          <w:szCs w:val="24"/>
        </w:rPr>
        <w:t xml:space="preserve">The 2017 </w:t>
      </w:r>
      <w:r>
        <w:rPr>
          <w:rFonts w:ascii="Times New Roman" w:hAnsi="Times New Roman" w:cs="Times New Roman"/>
          <w:sz w:val="24"/>
          <w:szCs w:val="24"/>
        </w:rPr>
        <w:t xml:space="preserve">reform programme </w:t>
      </w:r>
      <w:r w:rsidRPr="002C3C7A">
        <w:rPr>
          <w:rFonts w:ascii="Times New Roman" w:hAnsi="Times New Roman" w:cs="Times New Roman"/>
          <w:sz w:val="24"/>
          <w:szCs w:val="24"/>
        </w:rPr>
        <w:t xml:space="preserve">for Portugal presents a medium term economic and social strategy in continuity with the 2016 </w:t>
      </w:r>
      <w:r>
        <w:rPr>
          <w:rFonts w:ascii="Times New Roman" w:hAnsi="Times New Roman" w:cs="Times New Roman"/>
          <w:sz w:val="24"/>
          <w:szCs w:val="24"/>
        </w:rPr>
        <w:t>programme</w:t>
      </w:r>
      <w:r w:rsidRPr="002C3C7A">
        <w:rPr>
          <w:rFonts w:ascii="Times New Roman" w:hAnsi="Times New Roman" w:cs="Times New Roman"/>
          <w:sz w:val="24"/>
          <w:szCs w:val="24"/>
        </w:rPr>
        <w:t xml:space="preserve">. The measures proposed aim </w:t>
      </w:r>
      <w:r>
        <w:rPr>
          <w:rFonts w:ascii="Times New Roman" w:hAnsi="Times New Roman" w:cs="Times New Roman"/>
          <w:sz w:val="24"/>
          <w:szCs w:val="24"/>
        </w:rPr>
        <w:t>to raise</w:t>
      </w:r>
      <w:r w:rsidRPr="002C3C7A">
        <w:rPr>
          <w:rFonts w:ascii="Times New Roman" w:hAnsi="Times New Roman" w:cs="Times New Roman"/>
          <w:sz w:val="24"/>
          <w:szCs w:val="24"/>
        </w:rPr>
        <w:t xml:space="preserve"> the skill</w:t>
      </w:r>
      <w:r>
        <w:rPr>
          <w:rFonts w:ascii="Times New Roman" w:hAnsi="Times New Roman" w:cs="Times New Roman"/>
          <w:sz w:val="24"/>
          <w:szCs w:val="24"/>
        </w:rPr>
        <w:t>s</w:t>
      </w:r>
      <w:r w:rsidRPr="002C3C7A">
        <w:rPr>
          <w:rFonts w:ascii="Times New Roman" w:hAnsi="Times New Roman" w:cs="Times New Roman"/>
          <w:sz w:val="24"/>
          <w:szCs w:val="24"/>
        </w:rPr>
        <w:t xml:space="preserve"> level of the labour force</w:t>
      </w:r>
      <w:r>
        <w:rPr>
          <w:rFonts w:ascii="Times New Roman" w:hAnsi="Times New Roman" w:cs="Times New Roman"/>
          <w:sz w:val="24"/>
          <w:szCs w:val="24"/>
        </w:rPr>
        <w:t>;</w:t>
      </w:r>
      <w:r w:rsidRPr="005B3250">
        <w:rPr>
          <w:rFonts w:ascii="Times New Roman" w:hAnsi="Times New Roman" w:cs="Times New Roman"/>
          <w:sz w:val="24"/>
          <w:szCs w:val="24"/>
        </w:rPr>
        <w:t xml:space="preserve"> </w:t>
      </w:r>
      <w:r w:rsidRPr="00C12162">
        <w:rPr>
          <w:rFonts w:ascii="Times New Roman" w:hAnsi="Times New Roman" w:cs="Times New Roman"/>
          <w:sz w:val="24"/>
          <w:szCs w:val="24"/>
        </w:rPr>
        <w:t>address labour market segmentation</w:t>
      </w:r>
      <w:r>
        <w:rPr>
          <w:rFonts w:ascii="Times New Roman" w:hAnsi="Times New Roman" w:cs="Times New Roman"/>
          <w:sz w:val="24"/>
          <w:szCs w:val="24"/>
        </w:rPr>
        <w:t>,</w:t>
      </w:r>
      <w:r w:rsidRPr="002C3C7A">
        <w:rPr>
          <w:rFonts w:ascii="Times New Roman" w:hAnsi="Times New Roman" w:cs="Times New Roman"/>
          <w:sz w:val="24"/>
          <w:szCs w:val="24"/>
        </w:rPr>
        <w:t xml:space="preserve"> improve the business environment and increase the competitiveness of Portuguese firms</w:t>
      </w:r>
      <w:r>
        <w:rPr>
          <w:rFonts w:ascii="Times New Roman" w:hAnsi="Times New Roman" w:cs="Times New Roman"/>
          <w:sz w:val="24"/>
          <w:szCs w:val="24"/>
        </w:rPr>
        <w:t>;</w:t>
      </w:r>
      <w:r w:rsidRPr="002C3C7A">
        <w:rPr>
          <w:rFonts w:ascii="Times New Roman" w:hAnsi="Times New Roman" w:cs="Times New Roman"/>
          <w:sz w:val="24"/>
          <w:szCs w:val="24"/>
        </w:rPr>
        <w:t xml:space="preserve"> tackle corporate debt and unemployment</w:t>
      </w:r>
      <w:r>
        <w:rPr>
          <w:rFonts w:ascii="Times New Roman" w:hAnsi="Times New Roman" w:cs="Times New Roman"/>
          <w:sz w:val="24"/>
          <w:szCs w:val="24"/>
        </w:rPr>
        <w:t>;</w:t>
      </w:r>
      <w:r w:rsidRPr="002C3C7A">
        <w:rPr>
          <w:rFonts w:ascii="Times New Roman" w:hAnsi="Times New Roman" w:cs="Times New Roman"/>
          <w:sz w:val="24"/>
          <w:szCs w:val="24"/>
        </w:rPr>
        <w:t xml:space="preserve"> modernise </w:t>
      </w:r>
      <w:r>
        <w:rPr>
          <w:rFonts w:ascii="Times New Roman" w:hAnsi="Times New Roman" w:cs="Times New Roman"/>
          <w:sz w:val="24"/>
          <w:szCs w:val="24"/>
        </w:rPr>
        <w:t xml:space="preserve">the </w:t>
      </w:r>
      <w:r w:rsidRPr="002C3C7A">
        <w:rPr>
          <w:rFonts w:ascii="Times New Roman" w:hAnsi="Times New Roman" w:cs="Times New Roman"/>
          <w:sz w:val="24"/>
          <w:szCs w:val="24"/>
        </w:rPr>
        <w:t xml:space="preserve">public administration and improve social protection. Although many reform commitments appear </w:t>
      </w:r>
      <w:r w:rsidRPr="00880F92">
        <w:rPr>
          <w:rFonts w:ascii="Times New Roman" w:hAnsi="Times New Roman" w:cs="Times New Roman"/>
          <w:sz w:val="24"/>
          <w:szCs w:val="24"/>
        </w:rPr>
        <w:t>sufficiently</w:t>
      </w:r>
      <w:r w:rsidRPr="002C3C7A">
        <w:rPr>
          <w:rFonts w:ascii="Times New Roman" w:hAnsi="Times New Roman" w:cs="Times New Roman"/>
          <w:i/>
          <w:sz w:val="24"/>
          <w:szCs w:val="24"/>
        </w:rPr>
        <w:t xml:space="preserve"> </w:t>
      </w:r>
      <w:r w:rsidRPr="002C3C7A">
        <w:rPr>
          <w:rFonts w:ascii="Times New Roman" w:hAnsi="Times New Roman" w:cs="Times New Roman"/>
          <w:sz w:val="24"/>
          <w:szCs w:val="24"/>
        </w:rPr>
        <w:t>ambitious to tackle Portugal's challenges</w:t>
      </w:r>
      <w:r w:rsidRPr="00B0150F">
        <w:rPr>
          <w:rFonts w:ascii="Times New Roman" w:hAnsi="Times New Roman" w:cs="Times New Roman"/>
          <w:sz w:val="24"/>
          <w:szCs w:val="24"/>
        </w:rPr>
        <w:t xml:space="preserve"> </w:t>
      </w:r>
      <w:r w:rsidRPr="002C3C7A">
        <w:rPr>
          <w:rFonts w:ascii="Times New Roman" w:hAnsi="Times New Roman" w:cs="Times New Roman"/>
          <w:sz w:val="24"/>
          <w:szCs w:val="24"/>
        </w:rPr>
        <w:t>appropriately, the</w:t>
      </w:r>
      <w:r>
        <w:rPr>
          <w:rFonts w:ascii="Times New Roman" w:hAnsi="Times New Roman" w:cs="Times New Roman"/>
          <w:sz w:val="24"/>
          <w:szCs w:val="24"/>
        </w:rPr>
        <w:t xml:space="preserve"> document</w:t>
      </w:r>
      <w:r w:rsidRPr="002C3C7A">
        <w:rPr>
          <w:rFonts w:ascii="Times New Roman" w:hAnsi="Times New Roman" w:cs="Times New Roman"/>
          <w:sz w:val="24"/>
          <w:szCs w:val="24"/>
        </w:rPr>
        <w:t xml:space="preserve"> lack</w:t>
      </w:r>
      <w:r>
        <w:rPr>
          <w:rFonts w:ascii="Times New Roman" w:hAnsi="Times New Roman" w:cs="Times New Roman"/>
          <w:sz w:val="24"/>
          <w:szCs w:val="24"/>
        </w:rPr>
        <w:t>s</w:t>
      </w:r>
      <w:r w:rsidRPr="002C3C7A">
        <w:rPr>
          <w:rFonts w:ascii="Times New Roman" w:hAnsi="Times New Roman" w:cs="Times New Roman"/>
          <w:sz w:val="24"/>
          <w:szCs w:val="24"/>
        </w:rPr>
        <w:t xml:space="preserve"> details </w:t>
      </w:r>
      <w:r>
        <w:rPr>
          <w:rFonts w:ascii="Times New Roman" w:hAnsi="Times New Roman" w:cs="Times New Roman"/>
          <w:sz w:val="24"/>
          <w:szCs w:val="24"/>
        </w:rPr>
        <w:t xml:space="preserve">as well as concrete implementation plans in some key areas such as reducing </w:t>
      </w:r>
      <w:r w:rsidRPr="001D759E">
        <w:rPr>
          <w:rFonts w:ascii="Times New Roman" w:hAnsi="Times New Roman" w:cs="Times New Roman"/>
          <w:sz w:val="24"/>
          <w:szCs w:val="24"/>
        </w:rPr>
        <w:t>private and public debt</w:t>
      </w:r>
      <w:r>
        <w:rPr>
          <w:rFonts w:ascii="Times New Roman" w:hAnsi="Times New Roman" w:cs="Times New Roman"/>
          <w:sz w:val="24"/>
          <w:szCs w:val="24"/>
        </w:rPr>
        <w:t>.</w:t>
      </w:r>
      <w:r w:rsidR="007B4CD1">
        <w:rPr>
          <w:rFonts w:ascii="Times New Roman" w:hAnsi="Times New Roman" w:cs="Times New Roman"/>
          <w:sz w:val="24"/>
          <w:szCs w:val="24"/>
        </w:rPr>
        <w:t xml:space="preserve"> Portuguese authorities provided further details on measures and timing in a letter  on </w:t>
      </w:r>
      <w:r w:rsidR="00B93FAC">
        <w:rPr>
          <w:rFonts w:ascii="Times New Roman" w:hAnsi="Times New Roman" w:cs="Times New Roman"/>
          <w:sz w:val="24"/>
          <w:szCs w:val="24"/>
        </w:rPr>
        <w:t>14</w:t>
      </w:r>
      <w:r w:rsidR="007B4CD1">
        <w:rPr>
          <w:rFonts w:ascii="Times New Roman" w:hAnsi="Times New Roman" w:cs="Times New Roman"/>
          <w:sz w:val="24"/>
          <w:szCs w:val="24"/>
        </w:rPr>
        <w:t xml:space="preserve"> May 2017.</w:t>
      </w:r>
    </w:p>
    <w:p w:rsidR="00880F92" w:rsidRPr="002C3C7A" w:rsidRDefault="00880F92" w:rsidP="00C37CA6">
      <w:pPr>
        <w:spacing w:after="120"/>
        <w:jc w:val="both"/>
        <w:rPr>
          <w:rFonts w:ascii="Times New Roman" w:hAnsi="Times New Roman" w:cs="Times New Roman"/>
          <w:sz w:val="24"/>
          <w:szCs w:val="24"/>
        </w:rPr>
      </w:pPr>
      <w:r w:rsidRPr="002C3C7A">
        <w:rPr>
          <w:rFonts w:ascii="Times New Roman" w:hAnsi="Times New Roman" w:cs="Times New Roman"/>
          <w:sz w:val="24"/>
          <w:szCs w:val="24"/>
        </w:rPr>
        <w:t>As a result of these assessments, and taking into account all the available information, the Commission</w:t>
      </w:r>
      <w:r>
        <w:rPr>
          <w:rFonts w:ascii="Times New Roman" w:hAnsi="Times New Roman" w:cs="Times New Roman"/>
          <w:sz w:val="24"/>
          <w:szCs w:val="24"/>
        </w:rPr>
        <w:t xml:space="preserve"> has</w:t>
      </w:r>
      <w:r w:rsidRPr="002C3C7A">
        <w:rPr>
          <w:rFonts w:ascii="Times New Roman" w:hAnsi="Times New Roman" w:cs="Times New Roman"/>
          <w:sz w:val="24"/>
          <w:szCs w:val="24"/>
        </w:rPr>
        <w:t xml:space="preserve"> concluded that </w:t>
      </w:r>
      <w:r w:rsidRPr="00796734">
        <w:rPr>
          <w:rFonts w:ascii="Times New Roman" w:hAnsi="Times New Roman" w:cs="Times New Roman"/>
          <w:sz w:val="24"/>
          <w:szCs w:val="24"/>
        </w:rPr>
        <w:t>there are currently no analytical grounds for stepping up the macroeconomic imbalance procedure, provided that these Member States swiftly and fully implement the reforms set out in their country-specific recommendations</w:t>
      </w:r>
      <w:r w:rsidRPr="002C3C7A">
        <w:rPr>
          <w:rFonts w:ascii="Times New Roman" w:hAnsi="Times New Roman" w:cs="Times New Roman"/>
          <w:sz w:val="24"/>
          <w:szCs w:val="24"/>
        </w:rPr>
        <w:t xml:space="preserve">. The Commission will continue to monitor these three countries, as it does all countries with excessive imbalances, notably through </w:t>
      </w:r>
      <w:r>
        <w:rPr>
          <w:rFonts w:ascii="Times New Roman" w:hAnsi="Times New Roman" w:cs="Times New Roman"/>
          <w:sz w:val="24"/>
          <w:szCs w:val="24"/>
        </w:rPr>
        <w:t>‘</w:t>
      </w:r>
      <w:r w:rsidRPr="002C3C7A">
        <w:rPr>
          <w:rFonts w:ascii="Times New Roman" w:hAnsi="Times New Roman" w:cs="Times New Roman"/>
          <w:sz w:val="24"/>
          <w:szCs w:val="24"/>
        </w:rPr>
        <w:t>specific monitoring</w:t>
      </w:r>
      <w:r>
        <w:rPr>
          <w:rFonts w:ascii="Times New Roman" w:hAnsi="Times New Roman" w:cs="Times New Roman"/>
          <w:sz w:val="24"/>
          <w:szCs w:val="24"/>
        </w:rPr>
        <w:t>’</w:t>
      </w:r>
      <w:r w:rsidRPr="002C3C7A">
        <w:rPr>
          <w:rFonts w:ascii="Times New Roman" w:hAnsi="Times New Roman" w:cs="Times New Roman"/>
          <w:sz w:val="24"/>
          <w:szCs w:val="24"/>
        </w:rPr>
        <w:t>.</w:t>
      </w:r>
    </w:p>
    <w:p w:rsidR="00E729AF" w:rsidRDefault="00E729AF" w:rsidP="00991AC3">
      <w:pPr>
        <w:spacing w:before="100" w:beforeAutospacing="1" w:after="100" w:afterAutospacing="1"/>
        <w:jc w:val="both"/>
        <w:rPr>
          <w:rFonts w:ascii="Times New Roman" w:hAnsi="Times New Roman" w:cs="Times New Roman"/>
          <w:sz w:val="24"/>
          <w:szCs w:val="24"/>
        </w:rPr>
      </w:pPr>
      <w:r w:rsidRPr="002C3C7A">
        <w:rPr>
          <w:rFonts w:ascii="Times New Roman" w:hAnsi="Times New Roman" w:cs="Times New Roman"/>
          <w:b/>
          <w:sz w:val="24"/>
          <w:szCs w:val="24"/>
        </w:rPr>
        <w:t xml:space="preserve">The Commission has strengthened the monitoring of policy implementation under the macroeconomic imbalance procedure. </w:t>
      </w:r>
      <w:r w:rsidRPr="002C3C7A">
        <w:rPr>
          <w:rFonts w:ascii="Times New Roman" w:hAnsi="Times New Roman" w:cs="Times New Roman"/>
          <w:sz w:val="24"/>
          <w:szCs w:val="24"/>
        </w:rPr>
        <w:t xml:space="preserve">In line with the decision </w:t>
      </w:r>
      <w:r w:rsidR="00F52633" w:rsidRPr="002C3C7A">
        <w:rPr>
          <w:rFonts w:ascii="Times New Roman" w:hAnsi="Times New Roman" w:cs="Times New Roman"/>
          <w:sz w:val="24"/>
          <w:szCs w:val="24"/>
        </w:rPr>
        <w:t xml:space="preserve">taken last year </w:t>
      </w:r>
      <w:r w:rsidRPr="002C3C7A">
        <w:rPr>
          <w:rFonts w:ascii="Times New Roman" w:hAnsi="Times New Roman" w:cs="Times New Roman"/>
          <w:sz w:val="24"/>
          <w:szCs w:val="24"/>
        </w:rPr>
        <w:t xml:space="preserve">to streamline </w:t>
      </w:r>
      <w:r w:rsidR="00F52633">
        <w:rPr>
          <w:rFonts w:ascii="Times New Roman" w:hAnsi="Times New Roman" w:cs="Times New Roman"/>
          <w:sz w:val="24"/>
          <w:szCs w:val="24"/>
        </w:rPr>
        <w:t xml:space="preserve">the </w:t>
      </w:r>
      <w:r w:rsidR="00F52633" w:rsidRPr="002C3C7A">
        <w:rPr>
          <w:rFonts w:ascii="Times New Roman" w:hAnsi="Times New Roman" w:cs="Times New Roman"/>
          <w:sz w:val="24"/>
          <w:szCs w:val="24"/>
        </w:rPr>
        <w:t>categories</w:t>
      </w:r>
      <w:r w:rsidR="00F52633">
        <w:rPr>
          <w:rFonts w:ascii="Times New Roman" w:hAnsi="Times New Roman" w:cs="Times New Roman"/>
          <w:sz w:val="24"/>
          <w:szCs w:val="24"/>
        </w:rPr>
        <w:t xml:space="preserve"> of Member States under the</w:t>
      </w:r>
      <w:r w:rsidR="00F52633" w:rsidRPr="002C3C7A">
        <w:rPr>
          <w:rFonts w:ascii="Times New Roman" w:hAnsi="Times New Roman" w:cs="Times New Roman"/>
          <w:sz w:val="24"/>
          <w:szCs w:val="24"/>
        </w:rPr>
        <w:t xml:space="preserve"> </w:t>
      </w:r>
      <w:r w:rsidRPr="002C3C7A">
        <w:rPr>
          <w:rFonts w:ascii="Times New Roman" w:hAnsi="Times New Roman" w:cs="Times New Roman"/>
          <w:sz w:val="24"/>
          <w:szCs w:val="24"/>
        </w:rPr>
        <w:t xml:space="preserve">macroeconomic imbalance </w:t>
      </w:r>
      <w:r w:rsidR="00351C44">
        <w:rPr>
          <w:rFonts w:ascii="Times New Roman" w:hAnsi="Times New Roman" w:cs="Times New Roman"/>
          <w:sz w:val="24"/>
          <w:szCs w:val="24"/>
        </w:rPr>
        <w:t xml:space="preserve">procedure, </w:t>
      </w:r>
      <w:r w:rsidRPr="002C3C7A">
        <w:rPr>
          <w:rFonts w:ascii="Times New Roman" w:hAnsi="Times New Roman" w:cs="Times New Roman"/>
          <w:sz w:val="24"/>
          <w:szCs w:val="24"/>
        </w:rPr>
        <w:t xml:space="preserve">the process of </w:t>
      </w:r>
      <w:r w:rsidR="00D25621">
        <w:rPr>
          <w:rFonts w:ascii="Times New Roman" w:hAnsi="Times New Roman" w:cs="Times New Roman"/>
          <w:sz w:val="24"/>
          <w:szCs w:val="24"/>
        </w:rPr>
        <w:t>‘</w:t>
      </w:r>
      <w:r w:rsidRPr="002C3C7A">
        <w:rPr>
          <w:rFonts w:ascii="Times New Roman" w:hAnsi="Times New Roman" w:cs="Times New Roman"/>
          <w:sz w:val="24"/>
          <w:szCs w:val="24"/>
        </w:rPr>
        <w:t>specific monitoring</w:t>
      </w:r>
      <w:r w:rsidR="00D25621">
        <w:rPr>
          <w:rFonts w:ascii="Times New Roman" w:hAnsi="Times New Roman" w:cs="Times New Roman"/>
          <w:sz w:val="24"/>
          <w:szCs w:val="24"/>
        </w:rPr>
        <w:t>’</w:t>
      </w:r>
      <w:r w:rsidRPr="002C3C7A">
        <w:rPr>
          <w:rFonts w:ascii="Times New Roman" w:hAnsi="Times New Roman" w:cs="Times New Roman"/>
          <w:sz w:val="24"/>
          <w:szCs w:val="24"/>
        </w:rPr>
        <w:t xml:space="preserve"> has been applied to all countries with imbalances or excessive imbalances</w:t>
      </w:r>
      <w:r w:rsidR="00E23AC3">
        <w:rPr>
          <w:rFonts w:ascii="Times New Roman" w:hAnsi="Times New Roman" w:cs="Times New Roman"/>
          <w:sz w:val="24"/>
          <w:szCs w:val="24"/>
        </w:rPr>
        <w:t>. T</w:t>
      </w:r>
      <w:r w:rsidRPr="002C3C7A">
        <w:rPr>
          <w:rFonts w:ascii="Times New Roman" w:hAnsi="Times New Roman" w:cs="Times New Roman"/>
          <w:sz w:val="24"/>
          <w:szCs w:val="24"/>
        </w:rPr>
        <w:t>he depth of the monitoring process reflect</w:t>
      </w:r>
      <w:r w:rsidR="00E23AC3">
        <w:rPr>
          <w:rFonts w:ascii="Times New Roman" w:hAnsi="Times New Roman" w:cs="Times New Roman"/>
          <w:sz w:val="24"/>
          <w:szCs w:val="24"/>
        </w:rPr>
        <w:t>s</w:t>
      </w:r>
      <w:r w:rsidRPr="002C3C7A">
        <w:rPr>
          <w:rFonts w:ascii="Times New Roman" w:hAnsi="Times New Roman" w:cs="Times New Roman"/>
          <w:sz w:val="24"/>
          <w:szCs w:val="24"/>
        </w:rPr>
        <w:t xml:space="preserve"> the scope of the challenges and the severity of the imbalances. The </w:t>
      </w:r>
      <w:r w:rsidRPr="002C3C7A">
        <w:rPr>
          <w:rFonts w:ascii="Times New Roman" w:hAnsi="Times New Roman" w:cs="Times New Roman"/>
          <w:sz w:val="24"/>
          <w:szCs w:val="24"/>
        </w:rPr>
        <w:lastRenderedPageBreak/>
        <w:t>aim is to contribute to a swifter and more comprehensive policy response to the imbalances identified</w:t>
      </w:r>
      <w:r w:rsidR="00E23AC3">
        <w:rPr>
          <w:rFonts w:ascii="Times New Roman" w:hAnsi="Times New Roman" w:cs="Times New Roman"/>
          <w:sz w:val="24"/>
          <w:szCs w:val="24"/>
        </w:rPr>
        <w:t xml:space="preserve"> by</w:t>
      </w:r>
      <w:r w:rsidRPr="002C3C7A">
        <w:rPr>
          <w:rFonts w:ascii="Times New Roman" w:hAnsi="Times New Roman" w:cs="Times New Roman"/>
          <w:sz w:val="24"/>
          <w:szCs w:val="24"/>
        </w:rPr>
        <w:t xml:space="preserve"> intensif</w:t>
      </w:r>
      <w:r w:rsidR="00E23AC3">
        <w:rPr>
          <w:rFonts w:ascii="Times New Roman" w:hAnsi="Times New Roman" w:cs="Times New Roman"/>
          <w:sz w:val="24"/>
          <w:szCs w:val="24"/>
        </w:rPr>
        <w:t>ying</w:t>
      </w:r>
      <w:r w:rsidRPr="002C3C7A">
        <w:rPr>
          <w:rFonts w:ascii="Times New Roman" w:hAnsi="Times New Roman" w:cs="Times New Roman"/>
          <w:sz w:val="24"/>
          <w:szCs w:val="24"/>
        </w:rPr>
        <w:t xml:space="preserve"> dialogue between the Commission and the national authorities. </w:t>
      </w:r>
    </w:p>
    <w:p w:rsidR="00F52633" w:rsidRPr="002C3C7A" w:rsidRDefault="00F52633" w:rsidP="00991AC3">
      <w:pPr>
        <w:spacing w:before="100" w:beforeAutospacing="1" w:after="100" w:afterAutospacing="1"/>
        <w:jc w:val="both"/>
        <w:rPr>
          <w:rFonts w:ascii="Times New Roman" w:hAnsi="Times New Roman" w:cs="Times New Roman"/>
          <w:sz w:val="24"/>
          <w:szCs w:val="24"/>
        </w:rPr>
      </w:pPr>
    </w:p>
    <w:p w:rsidR="00E729AF" w:rsidRPr="002C3C7A" w:rsidRDefault="00E729AF" w:rsidP="00991AC3">
      <w:pPr>
        <w:spacing w:before="100" w:beforeAutospacing="1" w:after="100" w:afterAutospacing="1"/>
        <w:jc w:val="both"/>
        <w:rPr>
          <w:rFonts w:ascii="Times New Roman" w:hAnsi="Times New Roman" w:cs="Times New Roman"/>
          <w:b/>
          <w:sz w:val="24"/>
          <w:szCs w:val="24"/>
        </w:rPr>
      </w:pPr>
      <w:r w:rsidRPr="002C3C7A">
        <w:rPr>
          <w:rFonts w:ascii="Times New Roman" w:hAnsi="Times New Roman" w:cs="Times New Roman"/>
          <w:b/>
          <w:sz w:val="24"/>
          <w:szCs w:val="24"/>
        </w:rPr>
        <w:t>3.</w:t>
      </w:r>
      <w:r w:rsidRPr="002C3C7A">
        <w:rPr>
          <w:rFonts w:ascii="Times New Roman" w:hAnsi="Times New Roman" w:cs="Times New Roman"/>
          <w:b/>
          <w:sz w:val="24"/>
          <w:szCs w:val="24"/>
        </w:rPr>
        <w:tab/>
      </w:r>
      <w:r w:rsidRPr="002C3C7A">
        <w:rPr>
          <w:rFonts w:ascii="Times New Roman" w:hAnsi="Times New Roman" w:cs="Times New Roman"/>
          <w:b/>
          <w:bCs/>
          <w:smallCaps/>
          <w:sz w:val="24"/>
          <w:szCs w:val="24"/>
        </w:rPr>
        <w:t>Key objectives of the 2017-2018 recommendations</w:t>
      </w:r>
    </w:p>
    <w:p w:rsidR="00067C23" w:rsidRDefault="00E729AF" w:rsidP="00991AC3">
      <w:pPr>
        <w:spacing w:before="100" w:beforeAutospacing="1" w:after="100" w:afterAutospacing="1"/>
        <w:jc w:val="both"/>
        <w:rPr>
          <w:rFonts w:ascii="Times New Roman" w:hAnsi="Times New Roman" w:cs="Times New Roman"/>
          <w:sz w:val="24"/>
          <w:szCs w:val="24"/>
        </w:rPr>
      </w:pPr>
      <w:r w:rsidRPr="002C3C7A">
        <w:rPr>
          <w:rFonts w:ascii="Times New Roman" w:hAnsi="Times New Roman" w:cs="Times New Roman"/>
          <w:b/>
          <w:sz w:val="24"/>
          <w:szCs w:val="24"/>
        </w:rPr>
        <w:t>The overall objective of the recommendations is to deliver more jobs and faster growth</w:t>
      </w:r>
      <w:r w:rsidR="00067C23">
        <w:rPr>
          <w:rFonts w:ascii="Times New Roman" w:hAnsi="Times New Roman" w:cs="Times New Roman"/>
          <w:b/>
          <w:sz w:val="24"/>
          <w:szCs w:val="24"/>
        </w:rPr>
        <w:t>, while taking account of social fairness considerations</w:t>
      </w:r>
      <w:r w:rsidRPr="002C3C7A">
        <w:rPr>
          <w:rFonts w:ascii="Times New Roman" w:hAnsi="Times New Roman" w:cs="Times New Roman"/>
          <w:b/>
          <w:sz w:val="24"/>
          <w:szCs w:val="24"/>
        </w:rPr>
        <w:t>.</w:t>
      </w:r>
      <w:r w:rsidRPr="002C3C7A">
        <w:rPr>
          <w:rFonts w:ascii="Times New Roman" w:hAnsi="Times New Roman" w:cs="Times New Roman"/>
          <w:sz w:val="24"/>
          <w:szCs w:val="24"/>
        </w:rPr>
        <w:t xml:space="preserve"> </w:t>
      </w:r>
      <w:r w:rsidR="008F3A5F">
        <w:rPr>
          <w:rFonts w:ascii="Times New Roman" w:hAnsi="Times New Roman" w:cs="Times New Roman"/>
          <w:sz w:val="24"/>
          <w:szCs w:val="24"/>
        </w:rPr>
        <w:t>The r</w:t>
      </w:r>
      <w:r w:rsidRPr="002C3C7A">
        <w:rPr>
          <w:rFonts w:ascii="Times New Roman" w:hAnsi="Times New Roman" w:cs="Times New Roman"/>
          <w:sz w:val="24"/>
          <w:szCs w:val="24"/>
        </w:rPr>
        <w:t xml:space="preserve">ecommendations are </w:t>
      </w:r>
      <w:r w:rsidR="008F3A5F">
        <w:rPr>
          <w:rFonts w:ascii="Times New Roman" w:hAnsi="Times New Roman" w:cs="Times New Roman"/>
          <w:sz w:val="24"/>
          <w:szCs w:val="24"/>
        </w:rPr>
        <w:t xml:space="preserve">chosen following broad </w:t>
      </w:r>
      <w:r w:rsidRPr="002C3C7A">
        <w:rPr>
          <w:rFonts w:ascii="Times New Roman" w:hAnsi="Times New Roman" w:cs="Times New Roman"/>
          <w:sz w:val="24"/>
          <w:szCs w:val="24"/>
        </w:rPr>
        <w:t xml:space="preserve">policy analysis and engagement with key stakeholders. They are based on the issues identified in the Annual Growth Survey, the macroeconomic imbalance procedure, surveillance under the Stability and Growth Pact, country visits, Member States’ consultations, </w:t>
      </w:r>
      <w:r w:rsidR="00BE6A44">
        <w:rPr>
          <w:rFonts w:ascii="Times New Roman" w:hAnsi="Times New Roman" w:cs="Times New Roman"/>
          <w:sz w:val="24"/>
          <w:szCs w:val="24"/>
        </w:rPr>
        <w:t xml:space="preserve">the </w:t>
      </w:r>
      <w:r w:rsidRPr="002C3C7A">
        <w:rPr>
          <w:rFonts w:ascii="Times New Roman" w:hAnsi="Times New Roman" w:cs="Times New Roman"/>
          <w:sz w:val="24"/>
          <w:szCs w:val="24"/>
        </w:rPr>
        <w:t>Tripartite Social Summit,</w:t>
      </w:r>
      <w:r w:rsidR="00D87B79">
        <w:rPr>
          <w:rFonts w:ascii="Times New Roman" w:hAnsi="Times New Roman" w:cs="Times New Roman"/>
          <w:sz w:val="24"/>
          <w:szCs w:val="24"/>
        </w:rPr>
        <w:t xml:space="preserve"> the annual convention for inclusive growth with civil society,</w:t>
      </w:r>
      <w:r w:rsidRPr="002C3C7A">
        <w:rPr>
          <w:rFonts w:ascii="Times New Roman" w:hAnsi="Times New Roman" w:cs="Times New Roman"/>
          <w:sz w:val="24"/>
          <w:szCs w:val="24"/>
        </w:rPr>
        <w:t xml:space="preserve"> and </w:t>
      </w:r>
      <w:r w:rsidR="00BE6A44">
        <w:rPr>
          <w:rFonts w:ascii="Times New Roman" w:hAnsi="Times New Roman" w:cs="Times New Roman"/>
          <w:sz w:val="24"/>
          <w:szCs w:val="24"/>
        </w:rPr>
        <w:t xml:space="preserve">the </w:t>
      </w:r>
      <w:r w:rsidRPr="002C3C7A">
        <w:rPr>
          <w:rFonts w:ascii="Times New Roman" w:hAnsi="Times New Roman" w:cs="Times New Roman"/>
          <w:sz w:val="24"/>
          <w:szCs w:val="24"/>
        </w:rPr>
        <w:t xml:space="preserve">euro area recommendations. </w:t>
      </w:r>
    </w:p>
    <w:p w:rsidR="00E729AF" w:rsidRPr="002C3C7A" w:rsidRDefault="00E729AF" w:rsidP="00991AC3">
      <w:pPr>
        <w:spacing w:before="100" w:beforeAutospacing="1" w:after="100" w:afterAutospacing="1"/>
        <w:jc w:val="both"/>
        <w:rPr>
          <w:rFonts w:ascii="Times New Roman" w:hAnsi="Times New Roman" w:cs="Times New Roman"/>
          <w:sz w:val="24"/>
          <w:szCs w:val="24"/>
        </w:rPr>
      </w:pPr>
      <w:r w:rsidRPr="00C278FF">
        <w:rPr>
          <w:rFonts w:ascii="Times New Roman" w:hAnsi="Times New Roman" w:cs="Times New Roman"/>
          <w:b/>
          <w:sz w:val="24"/>
          <w:szCs w:val="24"/>
        </w:rPr>
        <w:t>The challenges vary considerably across Member States</w:t>
      </w:r>
      <w:r w:rsidRPr="002C3C7A">
        <w:rPr>
          <w:rFonts w:ascii="Times New Roman" w:hAnsi="Times New Roman" w:cs="Times New Roman"/>
          <w:sz w:val="24"/>
          <w:szCs w:val="24"/>
        </w:rPr>
        <w:t>.</w:t>
      </w:r>
      <w:r w:rsidR="008F3A5F">
        <w:rPr>
          <w:rFonts w:ascii="Times New Roman" w:hAnsi="Times New Roman" w:cs="Times New Roman"/>
          <w:sz w:val="24"/>
          <w:szCs w:val="24"/>
        </w:rPr>
        <w:t xml:space="preserve"> In some Member States</w:t>
      </w:r>
      <w:r w:rsidR="00067C23">
        <w:rPr>
          <w:rFonts w:ascii="Times New Roman" w:hAnsi="Times New Roman" w:cs="Times New Roman"/>
          <w:sz w:val="24"/>
          <w:szCs w:val="24"/>
        </w:rPr>
        <w:t>,</w:t>
      </w:r>
      <w:r w:rsidR="008F3A5F">
        <w:rPr>
          <w:rFonts w:ascii="Times New Roman" w:hAnsi="Times New Roman" w:cs="Times New Roman"/>
          <w:sz w:val="24"/>
          <w:szCs w:val="24"/>
        </w:rPr>
        <w:t xml:space="preserve"> </w:t>
      </w:r>
      <w:r w:rsidR="00067C23" w:rsidRPr="00464124">
        <w:rPr>
          <w:rFonts w:ascii="Times New Roman" w:hAnsi="Times New Roman" w:cs="Times New Roman"/>
          <w:sz w:val="24"/>
          <w:szCs w:val="24"/>
        </w:rPr>
        <w:t>for instance those experiencing excessive imbalances</w:t>
      </w:r>
      <w:r w:rsidR="00067C23">
        <w:rPr>
          <w:rFonts w:ascii="Times New Roman" w:hAnsi="Times New Roman" w:cs="Times New Roman"/>
          <w:sz w:val="24"/>
          <w:szCs w:val="24"/>
        </w:rPr>
        <w:t>,</w:t>
      </w:r>
      <w:r w:rsidR="00067C23" w:rsidRPr="002C3C7A">
        <w:rPr>
          <w:rFonts w:ascii="Times New Roman" w:hAnsi="Times New Roman" w:cs="Times New Roman"/>
          <w:sz w:val="24"/>
          <w:szCs w:val="24"/>
        </w:rPr>
        <w:t xml:space="preserve"> </w:t>
      </w:r>
      <w:r w:rsidRPr="002C3C7A">
        <w:rPr>
          <w:rFonts w:ascii="Times New Roman" w:hAnsi="Times New Roman" w:cs="Times New Roman"/>
          <w:sz w:val="24"/>
          <w:szCs w:val="24"/>
        </w:rPr>
        <w:t xml:space="preserve">the challenges </w:t>
      </w:r>
      <w:r w:rsidR="008F3A5F">
        <w:rPr>
          <w:rFonts w:ascii="Times New Roman" w:hAnsi="Times New Roman" w:cs="Times New Roman"/>
          <w:sz w:val="24"/>
          <w:szCs w:val="24"/>
        </w:rPr>
        <w:t xml:space="preserve">identified </w:t>
      </w:r>
      <w:r w:rsidRPr="002C3C7A">
        <w:rPr>
          <w:rFonts w:ascii="Times New Roman" w:hAnsi="Times New Roman" w:cs="Times New Roman"/>
          <w:sz w:val="24"/>
          <w:szCs w:val="24"/>
        </w:rPr>
        <w:t>require comprehensive and sometimes urgent policy action</w:t>
      </w:r>
      <w:r w:rsidR="00067C23">
        <w:rPr>
          <w:rFonts w:ascii="Times New Roman" w:hAnsi="Times New Roman" w:cs="Times New Roman"/>
          <w:sz w:val="24"/>
          <w:szCs w:val="24"/>
        </w:rPr>
        <w:t>,</w:t>
      </w:r>
      <w:r w:rsidR="008F3A5F">
        <w:rPr>
          <w:rFonts w:ascii="Times New Roman" w:hAnsi="Times New Roman" w:cs="Times New Roman"/>
          <w:sz w:val="24"/>
          <w:szCs w:val="24"/>
        </w:rPr>
        <w:t xml:space="preserve"> I</w:t>
      </w:r>
      <w:r w:rsidRPr="002C3C7A">
        <w:rPr>
          <w:rFonts w:ascii="Times New Roman" w:hAnsi="Times New Roman" w:cs="Times New Roman"/>
          <w:sz w:val="24"/>
          <w:szCs w:val="24"/>
        </w:rPr>
        <w:t xml:space="preserve">n </w:t>
      </w:r>
      <w:r w:rsidR="008F3A5F">
        <w:rPr>
          <w:rFonts w:ascii="Times New Roman" w:hAnsi="Times New Roman" w:cs="Times New Roman"/>
          <w:sz w:val="24"/>
          <w:szCs w:val="24"/>
        </w:rPr>
        <w:t>others</w:t>
      </w:r>
      <w:r w:rsidRPr="00BE6A44">
        <w:rPr>
          <w:rFonts w:ascii="Times New Roman" w:hAnsi="Times New Roman" w:cs="Times New Roman"/>
          <w:sz w:val="24"/>
          <w:szCs w:val="24"/>
        </w:rPr>
        <w:t xml:space="preserve"> </w:t>
      </w:r>
      <w:r w:rsidRPr="002C3C7A">
        <w:rPr>
          <w:rFonts w:ascii="Times New Roman" w:hAnsi="Times New Roman" w:cs="Times New Roman"/>
          <w:sz w:val="24"/>
          <w:szCs w:val="24"/>
        </w:rPr>
        <w:t xml:space="preserve">where economic performance is overall satisfactory and challenges are more specific, </w:t>
      </w:r>
      <w:r w:rsidR="00067C23">
        <w:rPr>
          <w:rFonts w:ascii="Times New Roman" w:hAnsi="Times New Roman" w:cs="Times New Roman"/>
          <w:sz w:val="24"/>
          <w:szCs w:val="24"/>
        </w:rPr>
        <w:t xml:space="preserve">more </w:t>
      </w:r>
      <w:r w:rsidRPr="002C3C7A">
        <w:rPr>
          <w:rFonts w:ascii="Times New Roman" w:hAnsi="Times New Roman" w:cs="Times New Roman"/>
          <w:sz w:val="24"/>
          <w:szCs w:val="24"/>
        </w:rPr>
        <w:t>targeted policy action</w:t>
      </w:r>
      <w:r w:rsidR="00067C23">
        <w:rPr>
          <w:rFonts w:ascii="Times New Roman" w:hAnsi="Times New Roman" w:cs="Times New Roman"/>
          <w:sz w:val="24"/>
          <w:szCs w:val="24"/>
        </w:rPr>
        <w:t xml:space="preserve"> is recommended</w:t>
      </w:r>
      <w:r w:rsidRPr="002C3C7A">
        <w:rPr>
          <w:rFonts w:ascii="Times New Roman" w:hAnsi="Times New Roman" w:cs="Times New Roman"/>
          <w:sz w:val="24"/>
          <w:szCs w:val="24"/>
        </w:rPr>
        <w:t xml:space="preserve">. These differences are reflected in the number of recommendations addressed to each Member State </w:t>
      </w:r>
      <w:r w:rsidR="008F3A5F">
        <w:rPr>
          <w:rFonts w:ascii="Times New Roman" w:hAnsi="Times New Roman" w:cs="Times New Roman"/>
          <w:sz w:val="24"/>
          <w:szCs w:val="24"/>
        </w:rPr>
        <w:t>and</w:t>
      </w:r>
      <w:r w:rsidRPr="002C3C7A">
        <w:rPr>
          <w:rFonts w:ascii="Times New Roman" w:hAnsi="Times New Roman" w:cs="Times New Roman"/>
          <w:sz w:val="24"/>
          <w:szCs w:val="24"/>
        </w:rPr>
        <w:t xml:space="preserve"> in their scope and formulation. The Member States are expected to take action to address all of the challenges identified</w:t>
      </w:r>
      <w:r w:rsidR="00D87B79">
        <w:rPr>
          <w:rFonts w:ascii="Times New Roman" w:hAnsi="Times New Roman" w:cs="Times New Roman"/>
          <w:sz w:val="24"/>
          <w:szCs w:val="24"/>
        </w:rPr>
        <w:t xml:space="preserve"> by the comprehensive analysis</w:t>
      </w:r>
      <w:r w:rsidRPr="002C3C7A">
        <w:rPr>
          <w:rFonts w:ascii="Times New Roman" w:hAnsi="Times New Roman" w:cs="Times New Roman"/>
          <w:sz w:val="24"/>
          <w:szCs w:val="24"/>
        </w:rPr>
        <w:t xml:space="preserve"> in the </w:t>
      </w:r>
      <w:r w:rsidR="00067C23">
        <w:rPr>
          <w:rFonts w:ascii="Times New Roman" w:hAnsi="Times New Roman" w:cs="Times New Roman"/>
          <w:sz w:val="24"/>
          <w:szCs w:val="24"/>
        </w:rPr>
        <w:t xml:space="preserve">country </w:t>
      </w:r>
      <w:r w:rsidRPr="002C3C7A">
        <w:rPr>
          <w:rFonts w:ascii="Times New Roman" w:hAnsi="Times New Roman" w:cs="Times New Roman"/>
          <w:sz w:val="24"/>
          <w:szCs w:val="24"/>
        </w:rPr>
        <w:t>reports</w:t>
      </w:r>
      <w:r w:rsidR="00067C23">
        <w:rPr>
          <w:rFonts w:ascii="Times New Roman" w:hAnsi="Times New Roman" w:cs="Times New Roman"/>
          <w:sz w:val="24"/>
          <w:szCs w:val="24"/>
        </w:rPr>
        <w:t xml:space="preserve"> published in February</w:t>
      </w:r>
      <w:r w:rsidRPr="002C3C7A">
        <w:rPr>
          <w:rFonts w:ascii="Times New Roman" w:hAnsi="Times New Roman" w:cs="Times New Roman"/>
          <w:sz w:val="24"/>
          <w:szCs w:val="24"/>
        </w:rPr>
        <w:t>, even if these are not reflected in the country-specific recommendations. Particular attention should be paid</w:t>
      </w:r>
      <w:r w:rsidR="00067C23">
        <w:rPr>
          <w:rFonts w:ascii="Times New Roman" w:hAnsi="Times New Roman" w:cs="Times New Roman"/>
          <w:sz w:val="24"/>
          <w:szCs w:val="24"/>
        </w:rPr>
        <w:t xml:space="preserve"> to</w:t>
      </w:r>
      <w:r w:rsidRPr="002C3C7A">
        <w:rPr>
          <w:rFonts w:ascii="Times New Roman" w:hAnsi="Times New Roman" w:cs="Times New Roman"/>
          <w:sz w:val="24"/>
          <w:szCs w:val="24"/>
        </w:rPr>
        <w:t xml:space="preserve"> sequencing </w:t>
      </w:r>
      <w:r w:rsidR="008F3A5F">
        <w:rPr>
          <w:rFonts w:ascii="Times New Roman" w:hAnsi="Times New Roman" w:cs="Times New Roman"/>
          <w:sz w:val="24"/>
          <w:szCs w:val="24"/>
        </w:rPr>
        <w:t xml:space="preserve">the </w:t>
      </w:r>
      <w:r w:rsidRPr="002C3C7A">
        <w:rPr>
          <w:rFonts w:ascii="Times New Roman" w:hAnsi="Times New Roman" w:cs="Times New Roman"/>
          <w:sz w:val="24"/>
          <w:szCs w:val="24"/>
        </w:rPr>
        <w:t xml:space="preserve">reforms </w:t>
      </w:r>
      <w:r w:rsidR="008F3A5F">
        <w:rPr>
          <w:rFonts w:ascii="Times New Roman" w:hAnsi="Times New Roman" w:cs="Times New Roman"/>
          <w:sz w:val="24"/>
          <w:szCs w:val="24"/>
        </w:rPr>
        <w:t xml:space="preserve">appropriately </w:t>
      </w:r>
      <w:r w:rsidRPr="002C3C7A">
        <w:rPr>
          <w:rFonts w:ascii="Times New Roman" w:hAnsi="Times New Roman" w:cs="Times New Roman"/>
          <w:sz w:val="24"/>
          <w:szCs w:val="24"/>
        </w:rPr>
        <w:t>and</w:t>
      </w:r>
      <w:r w:rsidR="00067C23">
        <w:rPr>
          <w:rFonts w:ascii="Times New Roman" w:hAnsi="Times New Roman" w:cs="Times New Roman"/>
          <w:sz w:val="24"/>
          <w:szCs w:val="24"/>
        </w:rPr>
        <w:t xml:space="preserve"> to</w:t>
      </w:r>
      <w:r w:rsidRPr="002C3C7A">
        <w:rPr>
          <w:rFonts w:ascii="Times New Roman" w:hAnsi="Times New Roman" w:cs="Times New Roman"/>
          <w:sz w:val="24"/>
          <w:szCs w:val="24"/>
        </w:rPr>
        <w:t xml:space="preserve"> </w:t>
      </w:r>
      <w:r w:rsidR="008F3A5F">
        <w:rPr>
          <w:rFonts w:ascii="Times New Roman" w:hAnsi="Times New Roman" w:cs="Times New Roman"/>
          <w:sz w:val="24"/>
          <w:szCs w:val="24"/>
        </w:rPr>
        <w:t xml:space="preserve">taking </w:t>
      </w:r>
      <w:r w:rsidRPr="002C3C7A">
        <w:rPr>
          <w:rFonts w:ascii="Times New Roman" w:hAnsi="Times New Roman" w:cs="Times New Roman"/>
          <w:sz w:val="24"/>
          <w:szCs w:val="24"/>
        </w:rPr>
        <w:t xml:space="preserve">accompanying measures where relevant, based on the assessment of the distributional impacts of </w:t>
      </w:r>
      <w:r w:rsidR="008F3A5F">
        <w:rPr>
          <w:rFonts w:ascii="Times New Roman" w:hAnsi="Times New Roman" w:cs="Times New Roman"/>
          <w:sz w:val="24"/>
          <w:szCs w:val="24"/>
        </w:rPr>
        <w:t xml:space="preserve">the </w:t>
      </w:r>
      <w:r w:rsidRPr="002C3C7A">
        <w:rPr>
          <w:rFonts w:ascii="Times New Roman" w:hAnsi="Times New Roman" w:cs="Times New Roman"/>
          <w:sz w:val="24"/>
          <w:szCs w:val="24"/>
        </w:rPr>
        <w:t xml:space="preserve">reforms. </w:t>
      </w:r>
    </w:p>
    <w:p w:rsidR="00E729AF" w:rsidRPr="002C3C7A" w:rsidRDefault="00E729AF" w:rsidP="00991AC3">
      <w:pPr>
        <w:keepNext/>
        <w:spacing w:before="100" w:beforeAutospacing="1" w:after="100" w:afterAutospacing="1"/>
        <w:jc w:val="both"/>
        <w:rPr>
          <w:rFonts w:ascii="Times New Roman" w:hAnsi="Times New Roman" w:cs="Times New Roman"/>
          <w:i/>
          <w:sz w:val="24"/>
          <w:szCs w:val="24"/>
        </w:rPr>
      </w:pPr>
      <w:r w:rsidRPr="002C3C7A">
        <w:rPr>
          <w:rFonts w:ascii="Times New Roman" w:hAnsi="Times New Roman" w:cs="Times New Roman"/>
          <w:i/>
          <w:sz w:val="24"/>
          <w:szCs w:val="24"/>
        </w:rPr>
        <w:t>Labour market</w:t>
      </w:r>
    </w:p>
    <w:p w:rsidR="00E729AF" w:rsidRPr="002C3C7A" w:rsidRDefault="00E729AF" w:rsidP="00991AC3">
      <w:pPr>
        <w:spacing w:before="100" w:beforeAutospacing="1" w:after="100" w:afterAutospacing="1"/>
        <w:jc w:val="both"/>
        <w:rPr>
          <w:rFonts w:ascii="Times New Roman" w:hAnsi="Times New Roman" w:cs="Times New Roman"/>
          <w:sz w:val="24"/>
          <w:szCs w:val="24"/>
        </w:rPr>
      </w:pPr>
      <w:r w:rsidRPr="002C3C7A">
        <w:rPr>
          <w:rFonts w:ascii="Times New Roman" w:hAnsi="Times New Roman" w:cs="Times New Roman"/>
          <w:b/>
          <w:sz w:val="24"/>
          <w:szCs w:val="24"/>
        </w:rPr>
        <w:t xml:space="preserve">Many Member States have implemented reforms to strengthen the performance of labour markets, but further efforts are necessary to </w:t>
      </w:r>
      <w:r w:rsidR="003A792A" w:rsidRPr="002C3C7A">
        <w:rPr>
          <w:rFonts w:ascii="Times New Roman" w:hAnsi="Times New Roman" w:cs="Times New Roman"/>
          <w:b/>
          <w:sz w:val="24"/>
          <w:szCs w:val="24"/>
        </w:rPr>
        <w:t xml:space="preserve">address high </w:t>
      </w:r>
      <w:r w:rsidR="00067C23">
        <w:rPr>
          <w:rFonts w:ascii="Times New Roman" w:hAnsi="Times New Roman" w:cs="Times New Roman"/>
          <w:b/>
          <w:sz w:val="24"/>
          <w:szCs w:val="24"/>
        </w:rPr>
        <w:t xml:space="preserve">levels of </w:t>
      </w:r>
      <w:r w:rsidR="003A792A" w:rsidRPr="002C3C7A">
        <w:rPr>
          <w:rFonts w:ascii="Times New Roman" w:hAnsi="Times New Roman" w:cs="Times New Roman"/>
          <w:b/>
          <w:sz w:val="24"/>
          <w:szCs w:val="24"/>
        </w:rPr>
        <w:t>unemployment</w:t>
      </w:r>
      <w:r w:rsidRPr="002C3C7A">
        <w:rPr>
          <w:rFonts w:ascii="Times New Roman" w:hAnsi="Times New Roman" w:cs="Times New Roman"/>
          <w:b/>
          <w:sz w:val="24"/>
          <w:szCs w:val="24"/>
        </w:rPr>
        <w:t xml:space="preserve">. </w:t>
      </w:r>
      <w:r w:rsidR="00067C23">
        <w:rPr>
          <w:rFonts w:ascii="Times New Roman" w:hAnsi="Times New Roman" w:cs="Times New Roman"/>
          <w:sz w:val="24"/>
          <w:szCs w:val="24"/>
        </w:rPr>
        <w:t>Past</w:t>
      </w:r>
      <w:r w:rsidR="00067C23" w:rsidRPr="002C3C7A">
        <w:rPr>
          <w:rFonts w:ascii="Times New Roman" w:hAnsi="Times New Roman" w:cs="Times New Roman"/>
          <w:sz w:val="24"/>
          <w:szCs w:val="24"/>
        </w:rPr>
        <w:t xml:space="preserve"> </w:t>
      </w:r>
      <w:r w:rsidRPr="002C3C7A">
        <w:rPr>
          <w:rFonts w:ascii="Times New Roman" w:hAnsi="Times New Roman" w:cs="Times New Roman"/>
          <w:sz w:val="24"/>
          <w:szCs w:val="24"/>
        </w:rPr>
        <w:t xml:space="preserve">reforms are bearing fruit in terms of </w:t>
      </w:r>
      <w:r w:rsidR="007D3606">
        <w:rPr>
          <w:rFonts w:ascii="Times New Roman" w:hAnsi="Times New Roman" w:cs="Times New Roman"/>
          <w:sz w:val="24"/>
          <w:szCs w:val="24"/>
        </w:rPr>
        <w:t xml:space="preserve">creating </w:t>
      </w:r>
      <w:r w:rsidRPr="002C3C7A">
        <w:rPr>
          <w:rFonts w:ascii="Times New Roman" w:hAnsi="Times New Roman" w:cs="Times New Roman"/>
          <w:sz w:val="24"/>
          <w:szCs w:val="24"/>
        </w:rPr>
        <w:t>job</w:t>
      </w:r>
      <w:r w:rsidR="007D3606">
        <w:rPr>
          <w:rFonts w:ascii="Times New Roman" w:hAnsi="Times New Roman" w:cs="Times New Roman"/>
          <w:sz w:val="24"/>
          <w:szCs w:val="24"/>
        </w:rPr>
        <w:t>s</w:t>
      </w:r>
      <w:r w:rsidRPr="002C3C7A">
        <w:rPr>
          <w:rFonts w:ascii="Times New Roman" w:hAnsi="Times New Roman" w:cs="Times New Roman"/>
          <w:sz w:val="24"/>
          <w:szCs w:val="24"/>
        </w:rPr>
        <w:t xml:space="preserve"> and improving labour market conditions</w:t>
      </w:r>
      <w:r w:rsidR="007D3606">
        <w:rPr>
          <w:rFonts w:ascii="Times New Roman" w:hAnsi="Times New Roman" w:cs="Times New Roman"/>
          <w:sz w:val="24"/>
          <w:szCs w:val="24"/>
        </w:rPr>
        <w:t>. However</w:t>
      </w:r>
      <w:r w:rsidRPr="002C3C7A">
        <w:rPr>
          <w:rFonts w:ascii="Times New Roman" w:hAnsi="Times New Roman" w:cs="Times New Roman"/>
          <w:sz w:val="24"/>
          <w:szCs w:val="24"/>
        </w:rPr>
        <w:t>, youth and long</w:t>
      </w:r>
      <w:r w:rsidR="00067C23">
        <w:rPr>
          <w:rFonts w:ascii="Times New Roman" w:hAnsi="Times New Roman" w:cs="Times New Roman"/>
          <w:sz w:val="24"/>
          <w:szCs w:val="24"/>
        </w:rPr>
        <w:t>-</w:t>
      </w:r>
      <w:r w:rsidRPr="002C3C7A">
        <w:rPr>
          <w:rFonts w:ascii="Times New Roman" w:hAnsi="Times New Roman" w:cs="Times New Roman"/>
          <w:sz w:val="24"/>
          <w:szCs w:val="24"/>
        </w:rPr>
        <w:t xml:space="preserve">term unemployment remain </w:t>
      </w:r>
      <w:r w:rsidR="00067C23">
        <w:rPr>
          <w:rFonts w:ascii="Times New Roman" w:hAnsi="Times New Roman" w:cs="Times New Roman"/>
          <w:sz w:val="24"/>
          <w:szCs w:val="24"/>
        </w:rPr>
        <w:t>urgent priorities</w:t>
      </w:r>
      <w:r w:rsidR="00067C23" w:rsidRPr="002C3C7A">
        <w:rPr>
          <w:rFonts w:ascii="Times New Roman" w:hAnsi="Times New Roman" w:cs="Times New Roman"/>
          <w:sz w:val="24"/>
          <w:szCs w:val="24"/>
        </w:rPr>
        <w:t xml:space="preserve"> </w:t>
      </w:r>
      <w:r w:rsidRPr="002C3C7A">
        <w:rPr>
          <w:rFonts w:ascii="Times New Roman" w:hAnsi="Times New Roman" w:cs="Times New Roman"/>
          <w:sz w:val="24"/>
          <w:szCs w:val="24"/>
        </w:rPr>
        <w:t>and more efforts are needed to promote resilient and inclusive labour markets</w:t>
      </w:r>
      <w:r w:rsidR="007D3606">
        <w:rPr>
          <w:rFonts w:ascii="Times New Roman" w:hAnsi="Times New Roman" w:cs="Times New Roman"/>
          <w:sz w:val="24"/>
          <w:szCs w:val="24"/>
        </w:rPr>
        <w:t xml:space="preserve">. These include </w:t>
      </w:r>
      <w:r w:rsidRPr="002C3C7A">
        <w:rPr>
          <w:rFonts w:ascii="Times New Roman" w:hAnsi="Times New Roman" w:cs="Times New Roman"/>
          <w:sz w:val="24"/>
          <w:szCs w:val="24"/>
        </w:rPr>
        <w:t>tackling labour market segmentation and increasing the effectiveness of active labour market policies (</w:t>
      </w:r>
      <w:r w:rsidR="00CA35DD" w:rsidRPr="007D3606">
        <w:rPr>
          <w:rFonts w:ascii="Times New Roman" w:hAnsi="Times New Roman" w:cs="Times New Roman"/>
          <w:sz w:val="24"/>
          <w:szCs w:val="24"/>
        </w:rPr>
        <w:t>for example</w:t>
      </w:r>
      <w:r w:rsidRPr="007D3606">
        <w:rPr>
          <w:rFonts w:ascii="Times New Roman" w:hAnsi="Times New Roman" w:cs="Times New Roman"/>
          <w:sz w:val="24"/>
          <w:szCs w:val="24"/>
        </w:rPr>
        <w:t xml:space="preserve"> in Belgium, Bulgaria, Ireland, Italy, Lithuania, Hungary</w:t>
      </w:r>
      <w:r w:rsidR="0087359E">
        <w:rPr>
          <w:rFonts w:ascii="Times New Roman" w:hAnsi="Times New Roman" w:cs="Times New Roman"/>
          <w:sz w:val="24"/>
          <w:szCs w:val="24"/>
        </w:rPr>
        <w:t>, Portugal</w:t>
      </w:r>
      <w:r w:rsidRPr="007D3606">
        <w:rPr>
          <w:rFonts w:ascii="Times New Roman" w:hAnsi="Times New Roman" w:cs="Times New Roman"/>
          <w:sz w:val="24"/>
          <w:szCs w:val="24"/>
        </w:rPr>
        <w:t xml:space="preserve"> and Romania)</w:t>
      </w:r>
      <w:r w:rsidR="003A792A" w:rsidRPr="007D3606">
        <w:rPr>
          <w:rFonts w:ascii="Times New Roman" w:hAnsi="Times New Roman" w:cs="Times New Roman"/>
          <w:sz w:val="24"/>
          <w:szCs w:val="24"/>
        </w:rPr>
        <w:t xml:space="preserve"> and social policies (</w:t>
      </w:r>
      <w:r w:rsidR="00CA35DD" w:rsidRPr="001342DD">
        <w:rPr>
          <w:rFonts w:ascii="Times New Roman" w:hAnsi="Times New Roman" w:cs="Times New Roman"/>
          <w:sz w:val="24"/>
          <w:szCs w:val="24"/>
        </w:rPr>
        <w:t>for example</w:t>
      </w:r>
      <w:r w:rsidR="003A792A" w:rsidRPr="001342DD">
        <w:rPr>
          <w:rFonts w:ascii="Times New Roman" w:hAnsi="Times New Roman" w:cs="Times New Roman"/>
          <w:sz w:val="24"/>
          <w:szCs w:val="24"/>
        </w:rPr>
        <w:t xml:space="preserve"> in Bulgaria, Lithuania and Spain)</w:t>
      </w:r>
      <w:r w:rsidRPr="007D3606">
        <w:rPr>
          <w:rFonts w:ascii="Times New Roman" w:hAnsi="Times New Roman" w:cs="Times New Roman"/>
          <w:sz w:val="24"/>
          <w:szCs w:val="24"/>
        </w:rPr>
        <w:t>.</w:t>
      </w:r>
      <w:r w:rsidRPr="002C3C7A">
        <w:rPr>
          <w:rFonts w:ascii="Times New Roman" w:hAnsi="Times New Roman" w:cs="Times New Roman"/>
          <w:sz w:val="24"/>
          <w:szCs w:val="24"/>
        </w:rPr>
        <w:t xml:space="preserve"> Likewise, there is a need to develop </w:t>
      </w:r>
      <w:r w:rsidR="009C588A">
        <w:rPr>
          <w:rFonts w:ascii="Times New Roman" w:hAnsi="Times New Roman" w:cs="Times New Roman"/>
          <w:sz w:val="24"/>
          <w:szCs w:val="24"/>
        </w:rPr>
        <w:t xml:space="preserve">collective bargaining </w:t>
      </w:r>
      <w:r w:rsidRPr="002C3C7A">
        <w:rPr>
          <w:rFonts w:ascii="Times New Roman" w:hAnsi="Times New Roman" w:cs="Times New Roman"/>
          <w:sz w:val="24"/>
          <w:szCs w:val="24"/>
        </w:rPr>
        <w:t xml:space="preserve">systems that </w:t>
      </w:r>
      <w:r w:rsidR="007D3606">
        <w:rPr>
          <w:rFonts w:ascii="Times New Roman" w:hAnsi="Times New Roman" w:cs="Times New Roman"/>
          <w:sz w:val="24"/>
          <w:szCs w:val="24"/>
        </w:rPr>
        <w:t xml:space="preserve">are </w:t>
      </w:r>
      <w:r w:rsidRPr="002C3C7A">
        <w:rPr>
          <w:rFonts w:ascii="Times New Roman" w:hAnsi="Times New Roman" w:cs="Times New Roman"/>
          <w:sz w:val="24"/>
          <w:szCs w:val="24"/>
        </w:rPr>
        <w:t xml:space="preserve">more conducive to </w:t>
      </w:r>
      <w:r w:rsidR="007D3606">
        <w:rPr>
          <w:rFonts w:ascii="Times New Roman" w:hAnsi="Times New Roman" w:cs="Times New Roman"/>
          <w:sz w:val="24"/>
          <w:szCs w:val="24"/>
        </w:rPr>
        <w:t xml:space="preserve">creating </w:t>
      </w:r>
      <w:r w:rsidRPr="002C3C7A">
        <w:rPr>
          <w:rFonts w:ascii="Times New Roman" w:hAnsi="Times New Roman" w:cs="Times New Roman"/>
          <w:sz w:val="24"/>
          <w:szCs w:val="24"/>
        </w:rPr>
        <w:t>job</w:t>
      </w:r>
      <w:r w:rsidR="007D3606">
        <w:rPr>
          <w:rFonts w:ascii="Times New Roman" w:hAnsi="Times New Roman" w:cs="Times New Roman"/>
          <w:sz w:val="24"/>
          <w:szCs w:val="24"/>
        </w:rPr>
        <w:t>s</w:t>
      </w:r>
      <w:r w:rsidR="00067C23">
        <w:rPr>
          <w:rFonts w:ascii="Times New Roman" w:hAnsi="Times New Roman" w:cs="Times New Roman"/>
          <w:sz w:val="24"/>
          <w:szCs w:val="24"/>
        </w:rPr>
        <w:t xml:space="preserve"> and to</w:t>
      </w:r>
      <w:r w:rsidRPr="002C3C7A">
        <w:rPr>
          <w:rFonts w:ascii="Times New Roman" w:hAnsi="Times New Roman" w:cs="Times New Roman"/>
          <w:sz w:val="24"/>
          <w:szCs w:val="24"/>
        </w:rPr>
        <w:t xml:space="preserve"> </w:t>
      </w:r>
      <w:r w:rsidR="007D3606">
        <w:rPr>
          <w:rFonts w:ascii="Times New Roman" w:hAnsi="Times New Roman" w:cs="Times New Roman"/>
          <w:sz w:val="24"/>
          <w:szCs w:val="24"/>
        </w:rPr>
        <w:t xml:space="preserve">raising </w:t>
      </w:r>
      <w:r w:rsidRPr="002C3C7A">
        <w:rPr>
          <w:rFonts w:ascii="Times New Roman" w:hAnsi="Times New Roman" w:cs="Times New Roman"/>
          <w:sz w:val="24"/>
          <w:szCs w:val="24"/>
        </w:rPr>
        <w:t xml:space="preserve">productivity </w:t>
      </w:r>
      <w:r w:rsidR="009C588A">
        <w:rPr>
          <w:rFonts w:ascii="Times New Roman" w:hAnsi="Times New Roman" w:cs="Times New Roman"/>
          <w:sz w:val="24"/>
          <w:szCs w:val="24"/>
        </w:rPr>
        <w:t xml:space="preserve">growth. </w:t>
      </w:r>
      <w:r w:rsidR="009C6AD6">
        <w:rPr>
          <w:rFonts w:ascii="Times New Roman" w:hAnsi="Times New Roman" w:cs="Times New Roman"/>
          <w:sz w:val="24"/>
          <w:szCs w:val="24"/>
        </w:rPr>
        <w:t>I</w:t>
      </w:r>
      <w:r w:rsidR="003A792A" w:rsidRPr="002C3C7A">
        <w:rPr>
          <w:rFonts w:ascii="Times New Roman" w:hAnsi="Times New Roman" w:cs="Times New Roman"/>
          <w:sz w:val="24"/>
          <w:szCs w:val="24"/>
        </w:rPr>
        <w:t>n some countries</w:t>
      </w:r>
      <w:r w:rsidR="00351C44">
        <w:rPr>
          <w:rFonts w:ascii="Times New Roman" w:hAnsi="Times New Roman" w:cs="Times New Roman"/>
          <w:sz w:val="24"/>
          <w:szCs w:val="24"/>
        </w:rPr>
        <w:t xml:space="preserve"> that</w:t>
      </w:r>
      <w:r w:rsidR="009C6AD6">
        <w:rPr>
          <w:rFonts w:ascii="Times New Roman" w:hAnsi="Times New Roman" w:cs="Times New Roman"/>
          <w:sz w:val="24"/>
          <w:szCs w:val="24"/>
        </w:rPr>
        <w:t xml:space="preserve"> are at or close to full employment, </w:t>
      </w:r>
      <w:r w:rsidR="009C588A">
        <w:rPr>
          <w:rFonts w:ascii="Times New Roman" w:hAnsi="Times New Roman" w:cs="Times New Roman"/>
          <w:sz w:val="24"/>
          <w:szCs w:val="24"/>
        </w:rPr>
        <w:t>real wage increases</w:t>
      </w:r>
      <w:r w:rsidR="009C6AD6">
        <w:rPr>
          <w:rFonts w:ascii="Times New Roman" w:hAnsi="Times New Roman" w:cs="Times New Roman"/>
          <w:sz w:val="24"/>
          <w:szCs w:val="24"/>
        </w:rPr>
        <w:t xml:space="preserve"> could accelerate</w:t>
      </w:r>
      <w:r w:rsidR="009C588A">
        <w:rPr>
          <w:rFonts w:ascii="Times New Roman" w:hAnsi="Times New Roman" w:cs="Times New Roman"/>
          <w:sz w:val="24"/>
          <w:szCs w:val="24"/>
        </w:rPr>
        <w:t xml:space="preserve">, </w:t>
      </w:r>
      <w:r w:rsidR="009C6AD6">
        <w:rPr>
          <w:rFonts w:ascii="Times New Roman" w:hAnsi="Times New Roman" w:cs="Times New Roman"/>
          <w:sz w:val="24"/>
          <w:szCs w:val="24"/>
        </w:rPr>
        <w:t xml:space="preserve">with </w:t>
      </w:r>
      <w:r w:rsidR="003A792A" w:rsidRPr="002C3C7A">
        <w:rPr>
          <w:rFonts w:ascii="Times New Roman" w:hAnsi="Times New Roman" w:cs="Times New Roman"/>
          <w:sz w:val="24"/>
          <w:szCs w:val="24"/>
        </w:rPr>
        <w:t xml:space="preserve">related positive effects on aggregate </w:t>
      </w:r>
      <w:r w:rsidR="003A792A" w:rsidRPr="002C3C7A">
        <w:rPr>
          <w:rFonts w:ascii="Times New Roman" w:hAnsi="Times New Roman" w:cs="Times New Roman"/>
          <w:sz w:val="24"/>
          <w:szCs w:val="24"/>
        </w:rPr>
        <w:lastRenderedPageBreak/>
        <w:t>consumption</w:t>
      </w:r>
      <w:r w:rsidRPr="002C3C7A">
        <w:rPr>
          <w:rFonts w:ascii="Times New Roman" w:hAnsi="Times New Roman" w:cs="Times New Roman"/>
          <w:sz w:val="24"/>
          <w:szCs w:val="24"/>
        </w:rPr>
        <w:t xml:space="preserve">. </w:t>
      </w:r>
      <w:r w:rsidR="009C588A" w:rsidRPr="00B7660A">
        <w:rPr>
          <w:rFonts w:ascii="Times New Roman" w:hAnsi="Times New Roman" w:cs="Times New Roman"/>
          <w:sz w:val="24"/>
          <w:szCs w:val="24"/>
        </w:rPr>
        <w:t xml:space="preserve">This </w:t>
      </w:r>
      <w:r w:rsidR="00A06F95">
        <w:rPr>
          <w:rFonts w:ascii="Times New Roman" w:hAnsi="Times New Roman" w:cs="Times New Roman"/>
          <w:sz w:val="24"/>
          <w:szCs w:val="24"/>
        </w:rPr>
        <w:t>c</w:t>
      </w:r>
      <w:r w:rsidR="009C6AD6">
        <w:rPr>
          <w:rFonts w:ascii="Times New Roman" w:hAnsi="Times New Roman" w:cs="Times New Roman"/>
          <w:sz w:val="24"/>
          <w:szCs w:val="24"/>
        </w:rPr>
        <w:t xml:space="preserve">ould contribute to </w:t>
      </w:r>
      <w:r w:rsidR="00A06F95">
        <w:rPr>
          <w:rFonts w:ascii="Times New Roman" w:hAnsi="Times New Roman" w:cs="Times New Roman"/>
          <w:sz w:val="24"/>
          <w:szCs w:val="24"/>
        </w:rPr>
        <w:t xml:space="preserve">reducing </w:t>
      </w:r>
      <w:r w:rsidR="009C588A" w:rsidRPr="00B7660A">
        <w:rPr>
          <w:rFonts w:ascii="Times New Roman" w:hAnsi="Times New Roman" w:cs="Times New Roman"/>
          <w:sz w:val="24"/>
          <w:szCs w:val="24"/>
        </w:rPr>
        <w:t>large current account surpluses</w:t>
      </w:r>
      <w:r w:rsidR="00A06F95">
        <w:rPr>
          <w:rFonts w:ascii="Times New Roman" w:hAnsi="Times New Roman" w:cs="Times New Roman"/>
          <w:sz w:val="24"/>
          <w:szCs w:val="24"/>
        </w:rPr>
        <w:t xml:space="preserve"> in </w:t>
      </w:r>
      <w:r w:rsidR="009C588A" w:rsidRPr="00B7660A">
        <w:rPr>
          <w:rFonts w:ascii="Times New Roman" w:hAnsi="Times New Roman" w:cs="Times New Roman"/>
          <w:sz w:val="24"/>
          <w:szCs w:val="24"/>
        </w:rPr>
        <w:t>Germany and the Netherlands.</w:t>
      </w:r>
      <w:r w:rsidR="009C6AD6" w:rsidRPr="009C6AD6">
        <w:rPr>
          <w:rFonts w:ascii="Times New Roman" w:hAnsi="Times New Roman" w:cs="Times New Roman"/>
          <w:sz w:val="24"/>
          <w:szCs w:val="24"/>
        </w:rPr>
        <w:t xml:space="preserve"> </w:t>
      </w:r>
    </w:p>
    <w:p w:rsidR="009C588A" w:rsidRDefault="00E729AF" w:rsidP="00991AC3">
      <w:pPr>
        <w:spacing w:before="100" w:beforeAutospacing="1" w:after="100" w:afterAutospacing="1"/>
        <w:jc w:val="both"/>
        <w:rPr>
          <w:rFonts w:ascii="Times New Roman" w:hAnsi="Times New Roman" w:cs="Times New Roman"/>
          <w:b/>
          <w:sz w:val="24"/>
          <w:szCs w:val="24"/>
        </w:rPr>
      </w:pPr>
      <w:r w:rsidRPr="002C3C7A">
        <w:rPr>
          <w:rFonts w:ascii="Times New Roman" w:hAnsi="Times New Roman" w:cs="Times New Roman"/>
          <w:b/>
          <w:sz w:val="24"/>
          <w:szCs w:val="24"/>
        </w:rPr>
        <w:t xml:space="preserve">Labour market segmentation </w:t>
      </w:r>
      <w:r w:rsidR="007D3606">
        <w:rPr>
          <w:rFonts w:ascii="Times New Roman" w:hAnsi="Times New Roman" w:cs="Times New Roman"/>
          <w:b/>
          <w:sz w:val="24"/>
          <w:szCs w:val="24"/>
        </w:rPr>
        <w:t xml:space="preserve">is </w:t>
      </w:r>
      <w:r w:rsidRPr="002C3C7A">
        <w:rPr>
          <w:rFonts w:ascii="Times New Roman" w:hAnsi="Times New Roman" w:cs="Times New Roman"/>
          <w:b/>
          <w:sz w:val="24"/>
          <w:szCs w:val="24"/>
        </w:rPr>
        <w:t>hamper</w:t>
      </w:r>
      <w:r w:rsidR="007D3606">
        <w:rPr>
          <w:rFonts w:ascii="Times New Roman" w:hAnsi="Times New Roman" w:cs="Times New Roman"/>
          <w:b/>
          <w:sz w:val="24"/>
          <w:szCs w:val="24"/>
        </w:rPr>
        <w:t>ing</w:t>
      </w:r>
      <w:r w:rsidRPr="002C3C7A">
        <w:rPr>
          <w:rFonts w:ascii="Times New Roman" w:hAnsi="Times New Roman" w:cs="Times New Roman"/>
          <w:b/>
          <w:sz w:val="24"/>
          <w:szCs w:val="24"/>
        </w:rPr>
        <w:t xml:space="preserve"> productivity and </w:t>
      </w:r>
      <w:r w:rsidR="007D3606">
        <w:rPr>
          <w:rFonts w:ascii="Times New Roman" w:hAnsi="Times New Roman" w:cs="Times New Roman"/>
          <w:b/>
          <w:sz w:val="24"/>
          <w:szCs w:val="24"/>
        </w:rPr>
        <w:t xml:space="preserve">the development of </w:t>
      </w:r>
      <w:r w:rsidRPr="002C3C7A">
        <w:rPr>
          <w:rFonts w:ascii="Times New Roman" w:hAnsi="Times New Roman" w:cs="Times New Roman"/>
          <w:b/>
          <w:sz w:val="24"/>
          <w:szCs w:val="24"/>
        </w:rPr>
        <w:t xml:space="preserve">human capital. </w:t>
      </w:r>
      <w:r w:rsidRPr="002C3C7A">
        <w:rPr>
          <w:rFonts w:ascii="Times New Roman" w:hAnsi="Times New Roman" w:cs="Times New Roman"/>
          <w:sz w:val="24"/>
          <w:szCs w:val="24"/>
        </w:rPr>
        <w:t>Structural changes in employment have resulted in an increase in temporary forms of employment. New forms of employment can increase work opportunities and boost business development</w:t>
      </w:r>
      <w:r w:rsidR="00023018">
        <w:rPr>
          <w:rFonts w:ascii="Times New Roman" w:hAnsi="Times New Roman" w:cs="Times New Roman"/>
          <w:sz w:val="24"/>
          <w:szCs w:val="24"/>
        </w:rPr>
        <w:t xml:space="preserve">. However, they </w:t>
      </w:r>
      <w:r w:rsidRPr="002C3C7A">
        <w:rPr>
          <w:rFonts w:ascii="Times New Roman" w:hAnsi="Times New Roman" w:cs="Times New Roman"/>
          <w:sz w:val="24"/>
          <w:szCs w:val="24"/>
        </w:rPr>
        <w:t xml:space="preserve">may also limit access to social protection, training and employment services, </w:t>
      </w:r>
      <w:r w:rsidR="00023018">
        <w:rPr>
          <w:rFonts w:ascii="Times New Roman" w:hAnsi="Times New Roman" w:cs="Times New Roman"/>
          <w:sz w:val="24"/>
          <w:szCs w:val="24"/>
        </w:rPr>
        <w:t xml:space="preserve">weaken </w:t>
      </w:r>
      <w:r w:rsidRPr="002C3C7A">
        <w:rPr>
          <w:rFonts w:ascii="Times New Roman" w:hAnsi="Times New Roman" w:cs="Times New Roman"/>
          <w:sz w:val="24"/>
          <w:szCs w:val="24"/>
        </w:rPr>
        <w:t xml:space="preserve">job security and undermine the objective of creating quality jobs. </w:t>
      </w:r>
    </w:p>
    <w:p w:rsidR="00E729AF" w:rsidRPr="002C3C7A" w:rsidRDefault="00E729AF" w:rsidP="00991AC3">
      <w:pPr>
        <w:spacing w:before="100" w:beforeAutospacing="1" w:after="100" w:afterAutospacing="1"/>
        <w:jc w:val="both"/>
        <w:rPr>
          <w:rFonts w:ascii="Times New Roman" w:hAnsi="Times New Roman" w:cs="Times New Roman"/>
          <w:sz w:val="24"/>
          <w:szCs w:val="24"/>
        </w:rPr>
      </w:pPr>
      <w:r w:rsidRPr="002C3C7A">
        <w:rPr>
          <w:rFonts w:ascii="Times New Roman" w:hAnsi="Times New Roman" w:cs="Times New Roman"/>
          <w:b/>
          <w:sz w:val="24"/>
          <w:szCs w:val="24"/>
        </w:rPr>
        <w:t xml:space="preserve">More needs to be done to improve participation in the labour market. </w:t>
      </w:r>
      <w:r w:rsidRPr="002C3C7A">
        <w:rPr>
          <w:rFonts w:ascii="Times New Roman" w:hAnsi="Times New Roman" w:cs="Times New Roman"/>
          <w:sz w:val="24"/>
          <w:szCs w:val="24"/>
        </w:rPr>
        <w:t xml:space="preserve">Despite continuous </w:t>
      </w:r>
      <w:r w:rsidR="0032288A">
        <w:rPr>
          <w:rFonts w:ascii="Times New Roman" w:hAnsi="Times New Roman" w:cs="Times New Roman"/>
          <w:sz w:val="24"/>
          <w:szCs w:val="24"/>
        </w:rPr>
        <w:t xml:space="preserve">increases </w:t>
      </w:r>
      <w:r w:rsidRPr="002C3C7A">
        <w:rPr>
          <w:rFonts w:ascii="Times New Roman" w:hAnsi="Times New Roman" w:cs="Times New Roman"/>
          <w:sz w:val="24"/>
          <w:szCs w:val="24"/>
        </w:rPr>
        <w:t xml:space="preserve">in the labour market participation of women and some measures to improve work-life balance, gender employment gaps and gender pay gaps remain significant. </w:t>
      </w:r>
      <w:r w:rsidR="0032288A">
        <w:rPr>
          <w:rFonts w:ascii="Times New Roman" w:hAnsi="Times New Roman" w:cs="Times New Roman"/>
          <w:sz w:val="24"/>
          <w:szCs w:val="24"/>
        </w:rPr>
        <w:t>T</w:t>
      </w:r>
      <w:r w:rsidRPr="002C3C7A">
        <w:rPr>
          <w:rFonts w:ascii="Times New Roman" w:hAnsi="Times New Roman" w:cs="Times New Roman"/>
          <w:sz w:val="24"/>
          <w:szCs w:val="24"/>
        </w:rPr>
        <w:t xml:space="preserve">he Commission </w:t>
      </w:r>
      <w:r w:rsidR="0032288A">
        <w:rPr>
          <w:rFonts w:ascii="Times New Roman" w:hAnsi="Times New Roman" w:cs="Times New Roman"/>
          <w:sz w:val="24"/>
          <w:szCs w:val="24"/>
        </w:rPr>
        <w:t xml:space="preserve">therefore </w:t>
      </w:r>
      <w:r w:rsidRPr="002C3C7A">
        <w:rPr>
          <w:rFonts w:ascii="Times New Roman" w:hAnsi="Times New Roman" w:cs="Times New Roman"/>
          <w:sz w:val="24"/>
          <w:szCs w:val="24"/>
        </w:rPr>
        <w:t xml:space="preserve">continues to propose that Member States act in this area. Additional efforts are also needed to </w:t>
      </w:r>
      <w:r w:rsidR="00351C44">
        <w:rPr>
          <w:rFonts w:ascii="Times New Roman" w:hAnsi="Times New Roman" w:cs="Times New Roman"/>
          <w:sz w:val="24"/>
          <w:szCs w:val="24"/>
        </w:rPr>
        <w:t xml:space="preserve">improve the </w:t>
      </w:r>
      <w:r w:rsidR="0032288A">
        <w:rPr>
          <w:rFonts w:ascii="Times New Roman" w:hAnsi="Times New Roman" w:cs="Times New Roman"/>
          <w:sz w:val="24"/>
          <w:szCs w:val="24"/>
        </w:rPr>
        <w:t>integrat</w:t>
      </w:r>
      <w:r w:rsidR="00351C44">
        <w:rPr>
          <w:rFonts w:ascii="Times New Roman" w:hAnsi="Times New Roman" w:cs="Times New Roman"/>
          <w:sz w:val="24"/>
          <w:szCs w:val="24"/>
        </w:rPr>
        <w:t>ion of</w:t>
      </w:r>
      <w:r w:rsidR="0032288A">
        <w:rPr>
          <w:rFonts w:ascii="Times New Roman" w:hAnsi="Times New Roman" w:cs="Times New Roman"/>
          <w:sz w:val="24"/>
          <w:szCs w:val="24"/>
        </w:rPr>
        <w:t xml:space="preserve"> </w:t>
      </w:r>
      <w:r w:rsidRPr="002C3C7A">
        <w:rPr>
          <w:rFonts w:ascii="Times New Roman" w:hAnsi="Times New Roman" w:cs="Times New Roman"/>
          <w:sz w:val="24"/>
          <w:szCs w:val="24"/>
        </w:rPr>
        <w:t>migrants and people with a migrant background</w:t>
      </w:r>
      <w:r w:rsidR="003A792A" w:rsidRPr="002C3C7A">
        <w:rPr>
          <w:rFonts w:ascii="Times New Roman" w:hAnsi="Times New Roman" w:cs="Times New Roman"/>
          <w:sz w:val="24"/>
          <w:szCs w:val="24"/>
        </w:rPr>
        <w:t xml:space="preserve"> </w:t>
      </w:r>
      <w:r w:rsidR="0032288A">
        <w:rPr>
          <w:rFonts w:ascii="Times New Roman" w:hAnsi="Times New Roman" w:cs="Times New Roman"/>
          <w:sz w:val="24"/>
          <w:szCs w:val="24"/>
        </w:rPr>
        <w:t xml:space="preserve">into the labour market </w:t>
      </w:r>
      <w:r w:rsidRPr="002C3C7A">
        <w:rPr>
          <w:rFonts w:ascii="Times New Roman" w:hAnsi="Times New Roman" w:cs="Times New Roman"/>
          <w:sz w:val="24"/>
          <w:szCs w:val="24"/>
        </w:rPr>
        <w:t>(</w:t>
      </w:r>
      <w:r w:rsidR="00CA35DD">
        <w:rPr>
          <w:rFonts w:ascii="Times New Roman" w:hAnsi="Times New Roman" w:cs="Times New Roman"/>
          <w:sz w:val="24"/>
          <w:szCs w:val="24"/>
        </w:rPr>
        <w:t>for example</w:t>
      </w:r>
      <w:r w:rsidRPr="002C3C7A">
        <w:rPr>
          <w:rFonts w:ascii="Times New Roman" w:hAnsi="Times New Roman" w:cs="Times New Roman"/>
          <w:sz w:val="24"/>
          <w:szCs w:val="24"/>
        </w:rPr>
        <w:t xml:space="preserve"> in Belgium, France, the Netherlands, Austria and Finland). </w:t>
      </w:r>
    </w:p>
    <w:p w:rsidR="00E729AF" w:rsidRDefault="00E729AF" w:rsidP="00991AC3">
      <w:pPr>
        <w:spacing w:before="100" w:beforeAutospacing="1" w:after="100" w:afterAutospacing="1"/>
        <w:jc w:val="both"/>
        <w:rPr>
          <w:rFonts w:ascii="Times New Roman" w:hAnsi="Times New Roman" w:cs="Times New Roman"/>
          <w:sz w:val="24"/>
          <w:szCs w:val="24"/>
        </w:rPr>
      </w:pPr>
      <w:r w:rsidRPr="002C3C7A">
        <w:rPr>
          <w:rFonts w:ascii="Times New Roman" w:hAnsi="Times New Roman" w:cs="Times New Roman"/>
          <w:b/>
          <w:sz w:val="24"/>
          <w:szCs w:val="24"/>
        </w:rPr>
        <w:t>A combination of pension reforms, labour market policies</w:t>
      </w:r>
      <w:r w:rsidR="00067C23">
        <w:rPr>
          <w:rFonts w:ascii="Times New Roman" w:hAnsi="Times New Roman" w:cs="Times New Roman"/>
          <w:b/>
          <w:sz w:val="24"/>
          <w:szCs w:val="24"/>
        </w:rPr>
        <w:t>, lifelong learning</w:t>
      </w:r>
      <w:r w:rsidRPr="002C3C7A">
        <w:rPr>
          <w:rFonts w:ascii="Times New Roman" w:hAnsi="Times New Roman" w:cs="Times New Roman"/>
          <w:b/>
          <w:sz w:val="24"/>
          <w:szCs w:val="24"/>
        </w:rPr>
        <w:t xml:space="preserve"> and health policies is required to support a more active older population.</w:t>
      </w:r>
      <w:r w:rsidRPr="002C3C7A">
        <w:rPr>
          <w:rFonts w:ascii="Times New Roman" w:hAnsi="Times New Roman" w:cs="Times New Roman"/>
          <w:sz w:val="24"/>
          <w:szCs w:val="24"/>
        </w:rPr>
        <w:t xml:space="preserve"> Older workers have seen their labour market participation increase but in many countries </w:t>
      </w:r>
      <w:r w:rsidR="002A5BBF">
        <w:rPr>
          <w:rFonts w:ascii="Times New Roman" w:hAnsi="Times New Roman" w:cs="Times New Roman"/>
          <w:sz w:val="24"/>
          <w:szCs w:val="24"/>
        </w:rPr>
        <w:t xml:space="preserve">their </w:t>
      </w:r>
      <w:r w:rsidRPr="002C3C7A">
        <w:rPr>
          <w:rFonts w:ascii="Times New Roman" w:hAnsi="Times New Roman" w:cs="Times New Roman"/>
          <w:sz w:val="24"/>
          <w:szCs w:val="24"/>
        </w:rPr>
        <w:t xml:space="preserve">employment rates remain low. </w:t>
      </w:r>
      <w:r w:rsidR="002A5BBF">
        <w:rPr>
          <w:rFonts w:ascii="Times New Roman" w:hAnsi="Times New Roman" w:cs="Times New Roman"/>
          <w:sz w:val="24"/>
          <w:szCs w:val="24"/>
        </w:rPr>
        <w:t>I</w:t>
      </w:r>
      <w:r w:rsidRPr="002C3C7A">
        <w:rPr>
          <w:rFonts w:ascii="Times New Roman" w:hAnsi="Times New Roman" w:cs="Times New Roman"/>
          <w:sz w:val="24"/>
          <w:szCs w:val="24"/>
        </w:rPr>
        <w:t>n view of the ageing population and higher dependency ratios</w:t>
      </w:r>
      <w:r w:rsidR="002A5BBF">
        <w:rPr>
          <w:rFonts w:ascii="Times New Roman" w:hAnsi="Times New Roman" w:cs="Times New Roman"/>
          <w:sz w:val="24"/>
          <w:szCs w:val="24"/>
        </w:rPr>
        <w:t xml:space="preserve">, getting older people involved in the </w:t>
      </w:r>
      <w:r w:rsidR="002A5BBF" w:rsidRPr="001D759E">
        <w:rPr>
          <w:rFonts w:ascii="Times New Roman" w:hAnsi="Times New Roman" w:cs="Times New Roman"/>
          <w:sz w:val="24"/>
          <w:szCs w:val="24"/>
        </w:rPr>
        <w:t>labour market is crucial</w:t>
      </w:r>
      <w:r w:rsidRPr="002C3C7A">
        <w:rPr>
          <w:rFonts w:ascii="Times New Roman" w:hAnsi="Times New Roman" w:cs="Times New Roman"/>
          <w:sz w:val="24"/>
          <w:szCs w:val="24"/>
        </w:rPr>
        <w:t xml:space="preserve"> to ensur</w:t>
      </w:r>
      <w:r w:rsidR="002A5BBF">
        <w:rPr>
          <w:rFonts w:ascii="Times New Roman" w:hAnsi="Times New Roman" w:cs="Times New Roman"/>
          <w:sz w:val="24"/>
          <w:szCs w:val="24"/>
        </w:rPr>
        <w:t xml:space="preserve">ing that </w:t>
      </w:r>
      <w:r w:rsidRPr="002C3C7A">
        <w:rPr>
          <w:rFonts w:ascii="Times New Roman" w:hAnsi="Times New Roman" w:cs="Times New Roman"/>
          <w:sz w:val="24"/>
          <w:szCs w:val="24"/>
        </w:rPr>
        <w:t>the social protection systems</w:t>
      </w:r>
      <w:r w:rsidR="002A5BBF">
        <w:rPr>
          <w:rFonts w:ascii="Times New Roman" w:hAnsi="Times New Roman" w:cs="Times New Roman"/>
          <w:sz w:val="24"/>
          <w:szCs w:val="24"/>
        </w:rPr>
        <w:t xml:space="preserve"> are sustainable and adequate</w:t>
      </w:r>
      <w:r w:rsidRPr="002C3C7A">
        <w:rPr>
          <w:rFonts w:ascii="Times New Roman" w:hAnsi="Times New Roman" w:cs="Times New Roman"/>
          <w:sz w:val="24"/>
          <w:szCs w:val="24"/>
        </w:rPr>
        <w:t xml:space="preserve">. </w:t>
      </w:r>
      <w:r w:rsidR="002A5BBF">
        <w:rPr>
          <w:rFonts w:ascii="Times New Roman" w:hAnsi="Times New Roman" w:cs="Times New Roman"/>
          <w:sz w:val="24"/>
          <w:szCs w:val="24"/>
        </w:rPr>
        <w:t xml:space="preserve">Remaining </w:t>
      </w:r>
      <w:r w:rsidRPr="002C3C7A">
        <w:rPr>
          <w:rFonts w:ascii="Times New Roman" w:hAnsi="Times New Roman" w:cs="Times New Roman"/>
          <w:sz w:val="24"/>
          <w:szCs w:val="24"/>
        </w:rPr>
        <w:t xml:space="preserve">active and healthy </w:t>
      </w:r>
      <w:r w:rsidR="00570BF2">
        <w:rPr>
          <w:rFonts w:ascii="Times New Roman" w:hAnsi="Times New Roman" w:cs="Times New Roman"/>
          <w:sz w:val="24"/>
          <w:szCs w:val="24"/>
        </w:rPr>
        <w:t xml:space="preserve">is also important for </w:t>
      </w:r>
      <w:r w:rsidR="00351C44">
        <w:rPr>
          <w:rFonts w:ascii="Times New Roman" w:hAnsi="Times New Roman" w:cs="Times New Roman"/>
          <w:sz w:val="24"/>
          <w:szCs w:val="24"/>
        </w:rPr>
        <w:t xml:space="preserve">the </w:t>
      </w:r>
      <w:r w:rsidRPr="002C3C7A">
        <w:rPr>
          <w:rFonts w:ascii="Times New Roman" w:hAnsi="Times New Roman" w:cs="Times New Roman"/>
          <w:sz w:val="24"/>
          <w:szCs w:val="24"/>
        </w:rPr>
        <w:t>well-being</w:t>
      </w:r>
      <w:r w:rsidR="00570BF2">
        <w:rPr>
          <w:rFonts w:ascii="Times New Roman" w:hAnsi="Times New Roman" w:cs="Times New Roman"/>
          <w:sz w:val="24"/>
          <w:szCs w:val="24"/>
        </w:rPr>
        <w:t xml:space="preserve"> of older people</w:t>
      </w:r>
      <w:r w:rsidRPr="002C3C7A">
        <w:rPr>
          <w:rFonts w:ascii="Times New Roman" w:hAnsi="Times New Roman" w:cs="Times New Roman"/>
          <w:sz w:val="24"/>
          <w:szCs w:val="24"/>
        </w:rPr>
        <w:t>. This is why the Commission has proposed a number of recommendations in these areas where action has been more limited and where the challenges are more pressing (</w:t>
      </w:r>
      <w:r w:rsidR="00CA35DD">
        <w:rPr>
          <w:rFonts w:ascii="Times New Roman" w:hAnsi="Times New Roman" w:cs="Times New Roman"/>
          <w:sz w:val="24"/>
          <w:szCs w:val="24"/>
        </w:rPr>
        <w:t>for example</w:t>
      </w:r>
      <w:r w:rsidRPr="002C3C7A">
        <w:rPr>
          <w:rFonts w:ascii="Times New Roman" w:hAnsi="Times New Roman" w:cs="Times New Roman"/>
          <w:sz w:val="24"/>
          <w:szCs w:val="24"/>
        </w:rPr>
        <w:t xml:space="preserve"> in Germany, Croatia, Luxembourg, Austria, Poland </w:t>
      </w:r>
      <w:r w:rsidR="00CA35DD">
        <w:rPr>
          <w:rFonts w:ascii="Times New Roman" w:hAnsi="Times New Roman" w:cs="Times New Roman"/>
          <w:sz w:val="24"/>
          <w:szCs w:val="24"/>
        </w:rPr>
        <w:t>and</w:t>
      </w:r>
      <w:r w:rsidRPr="002C3C7A">
        <w:rPr>
          <w:rFonts w:ascii="Times New Roman" w:hAnsi="Times New Roman" w:cs="Times New Roman"/>
          <w:sz w:val="24"/>
          <w:szCs w:val="24"/>
        </w:rPr>
        <w:t xml:space="preserve"> Slovenia). Member States have successfully undertaken relevant reforms of their healthcare systems. However, </w:t>
      </w:r>
      <w:r w:rsidR="00346FCB">
        <w:rPr>
          <w:rFonts w:ascii="Times New Roman" w:hAnsi="Times New Roman" w:cs="Times New Roman"/>
          <w:sz w:val="24"/>
          <w:szCs w:val="24"/>
        </w:rPr>
        <w:t xml:space="preserve">there are Member States where </w:t>
      </w:r>
      <w:r w:rsidR="00346FCB" w:rsidRPr="002C3C7A">
        <w:rPr>
          <w:rFonts w:ascii="Times New Roman" w:hAnsi="Times New Roman" w:cs="Times New Roman"/>
          <w:sz w:val="24"/>
          <w:szCs w:val="24"/>
        </w:rPr>
        <w:t xml:space="preserve">healthcare performance, sustainability and accessibility </w:t>
      </w:r>
      <w:r w:rsidR="00346FCB">
        <w:rPr>
          <w:rFonts w:ascii="Times New Roman" w:hAnsi="Times New Roman" w:cs="Times New Roman"/>
          <w:sz w:val="24"/>
          <w:szCs w:val="24"/>
        </w:rPr>
        <w:t xml:space="preserve">are hampered by </w:t>
      </w:r>
      <w:r w:rsidRPr="002C3C7A">
        <w:rPr>
          <w:rFonts w:ascii="Times New Roman" w:hAnsi="Times New Roman" w:cs="Times New Roman"/>
          <w:sz w:val="24"/>
          <w:szCs w:val="24"/>
        </w:rPr>
        <w:t>persistent</w:t>
      </w:r>
      <w:r w:rsidR="00483A9D">
        <w:rPr>
          <w:rFonts w:ascii="Times New Roman" w:hAnsi="Times New Roman" w:cs="Times New Roman"/>
          <w:sz w:val="24"/>
          <w:szCs w:val="24"/>
        </w:rPr>
        <w:t>ly</w:t>
      </w:r>
      <w:r w:rsidRPr="002C3C7A">
        <w:rPr>
          <w:rFonts w:ascii="Times New Roman" w:hAnsi="Times New Roman" w:cs="Times New Roman"/>
          <w:sz w:val="24"/>
          <w:szCs w:val="24"/>
        </w:rPr>
        <w:t xml:space="preserve"> low funding,</w:t>
      </w:r>
      <w:r w:rsidR="00346FCB" w:rsidRPr="00346FCB">
        <w:rPr>
          <w:rFonts w:ascii="Times New Roman" w:hAnsi="Times New Roman" w:cs="Times New Roman"/>
          <w:sz w:val="24"/>
          <w:szCs w:val="24"/>
        </w:rPr>
        <w:t xml:space="preserve"> </w:t>
      </w:r>
      <w:r w:rsidR="00346FCB" w:rsidRPr="002C3C7A">
        <w:rPr>
          <w:rFonts w:ascii="Times New Roman" w:hAnsi="Times New Roman" w:cs="Times New Roman"/>
          <w:sz w:val="24"/>
          <w:szCs w:val="24"/>
        </w:rPr>
        <w:t xml:space="preserve">inefficient allocation of </w:t>
      </w:r>
      <w:r w:rsidR="00346FCB">
        <w:rPr>
          <w:rFonts w:ascii="Times New Roman" w:hAnsi="Times New Roman" w:cs="Times New Roman"/>
          <w:sz w:val="24"/>
          <w:szCs w:val="24"/>
        </w:rPr>
        <w:t xml:space="preserve">resources, </w:t>
      </w:r>
      <w:r w:rsidR="00346FCB" w:rsidRPr="002C3C7A">
        <w:rPr>
          <w:rFonts w:ascii="Times New Roman" w:hAnsi="Times New Roman" w:cs="Times New Roman"/>
          <w:sz w:val="24"/>
          <w:szCs w:val="24"/>
        </w:rPr>
        <w:t>over-reliance on hospital care</w:t>
      </w:r>
      <w:r w:rsidR="00346FCB">
        <w:rPr>
          <w:rFonts w:ascii="Times New Roman" w:hAnsi="Times New Roman" w:cs="Times New Roman"/>
          <w:sz w:val="24"/>
          <w:szCs w:val="24"/>
        </w:rPr>
        <w:t>,</w:t>
      </w:r>
      <w:r w:rsidRPr="002C3C7A">
        <w:rPr>
          <w:rFonts w:ascii="Times New Roman" w:hAnsi="Times New Roman" w:cs="Times New Roman"/>
          <w:sz w:val="24"/>
          <w:szCs w:val="24"/>
        </w:rPr>
        <w:t xml:space="preserve"> large out-of-pocket payments </w:t>
      </w:r>
      <w:r w:rsidR="00346FCB">
        <w:rPr>
          <w:rFonts w:ascii="Times New Roman" w:hAnsi="Times New Roman" w:cs="Times New Roman"/>
          <w:sz w:val="24"/>
          <w:szCs w:val="24"/>
        </w:rPr>
        <w:t xml:space="preserve">and </w:t>
      </w:r>
      <w:r w:rsidRPr="002C3C7A">
        <w:rPr>
          <w:rFonts w:ascii="Times New Roman" w:hAnsi="Times New Roman" w:cs="Times New Roman"/>
          <w:sz w:val="24"/>
          <w:szCs w:val="24"/>
        </w:rPr>
        <w:t xml:space="preserve">staff shortages. </w:t>
      </w:r>
      <w:r w:rsidR="00483A9D">
        <w:rPr>
          <w:rFonts w:ascii="Times New Roman" w:hAnsi="Times New Roman" w:cs="Times New Roman"/>
          <w:sz w:val="24"/>
          <w:szCs w:val="24"/>
        </w:rPr>
        <w:t xml:space="preserve">A </w:t>
      </w:r>
      <w:r w:rsidRPr="002C3C7A">
        <w:rPr>
          <w:rFonts w:ascii="Times New Roman" w:hAnsi="Times New Roman" w:cs="Times New Roman"/>
          <w:sz w:val="24"/>
          <w:szCs w:val="24"/>
        </w:rPr>
        <w:t>number of recommendations address these issues (</w:t>
      </w:r>
      <w:r w:rsidR="00CA35DD">
        <w:rPr>
          <w:rFonts w:ascii="Times New Roman" w:hAnsi="Times New Roman" w:cs="Times New Roman"/>
          <w:sz w:val="24"/>
          <w:szCs w:val="24"/>
        </w:rPr>
        <w:t>for example</w:t>
      </w:r>
      <w:r w:rsidRPr="002C3C7A">
        <w:rPr>
          <w:rFonts w:ascii="Times New Roman" w:hAnsi="Times New Roman" w:cs="Times New Roman"/>
          <w:sz w:val="24"/>
          <w:szCs w:val="24"/>
        </w:rPr>
        <w:t xml:space="preserve"> </w:t>
      </w:r>
      <w:r w:rsidR="00CA35DD">
        <w:rPr>
          <w:rFonts w:ascii="Times New Roman" w:hAnsi="Times New Roman" w:cs="Times New Roman"/>
          <w:sz w:val="24"/>
          <w:szCs w:val="24"/>
        </w:rPr>
        <w:t xml:space="preserve">in </w:t>
      </w:r>
      <w:r w:rsidRPr="002C3C7A">
        <w:rPr>
          <w:rFonts w:ascii="Times New Roman" w:hAnsi="Times New Roman" w:cs="Times New Roman"/>
          <w:sz w:val="24"/>
          <w:szCs w:val="24"/>
        </w:rPr>
        <w:t>Latvia, Austria</w:t>
      </w:r>
      <w:r w:rsidR="00CA35DD">
        <w:rPr>
          <w:rFonts w:ascii="Times New Roman" w:hAnsi="Times New Roman" w:cs="Times New Roman"/>
          <w:sz w:val="24"/>
          <w:szCs w:val="24"/>
        </w:rPr>
        <w:t xml:space="preserve"> and</w:t>
      </w:r>
      <w:r w:rsidRPr="002C3C7A">
        <w:rPr>
          <w:rFonts w:ascii="Times New Roman" w:hAnsi="Times New Roman" w:cs="Times New Roman"/>
          <w:sz w:val="24"/>
          <w:szCs w:val="24"/>
        </w:rPr>
        <w:t xml:space="preserve"> Romania).</w:t>
      </w:r>
    </w:p>
    <w:p w:rsidR="00A06F95" w:rsidRDefault="00620D3B" w:rsidP="00C278FF">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 contribution of social dialogue is </w:t>
      </w:r>
      <w:r w:rsidR="00351C44">
        <w:rPr>
          <w:rFonts w:ascii="Times New Roman" w:eastAsia="Times New Roman" w:hAnsi="Times New Roman" w:cs="Times New Roman"/>
          <w:b/>
          <w:sz w:val="24"/>
          <w:szCs w:val="24"/>
        </w:rPr>
        <w:t>important</w:t>
      </w:r>
      <w:r>
        <w:rPr>
          <w:rFonts w:ascii="Times New Roman" w:eastAsia="Times New Roman" w:hAnsi="Times New Roman" w:cs="Times New Roman"/>
          <w:sz w:val="24"/>
          <w:szCs w:val="24"/>
        </w:rPr>
        <w:t xml:space="preserve">. It is crucial to ensure that social partners are empowered to play their role </w:t>
      </w:r>
      <w:r w:rsidR="00351C44">
        <w:rPr>
          <w:rFonts w:ascii="Times New Roman" w:eastAsia="Times New Roman" w:hAnsi="Times New Roman" w:cs="Times New Roman"/>
          <w:sz w:val="24"/>
          <w:szCs w:val="24"/>
        </w:rPr>
        <w:t xml:space="preserve">fully </w:t>
      </w:r>
      <w:r>
        <w:rPr>
          <w:rFonts w:ascii="Times New Roman" w:eastAsia="Times New Roman" w:hAnsi="Times New Roman" w:cs="Times New Roman"/>
          <w:sz w:val="24"/>
          <w:szCs w:val="24"/>
        </w:rPr>
        <w:t xml:space="preserve">in collective bargaining in line with national practices. Besides a well-functioning social dialogue, the involvement </w:t>
      </w:r>
      <w:r w:rsidR="00A06F95">
        <w:rPr>
          <w:rFonts w:ascii="Times New Roman" w:eastAsia="Times New Roman" w:hAnsi="Times New Roman" w:cs="Times New Roman"/>
          <w:sz w:val="24"/>
          <w:szCs w:val="24"/>
        </w:rPr>
        <w:t xml:space="preserve">and constructive engagement </w:t>
      </w:r>
      <w:r>
        <w:rPr>
          <w:rFonts w:ascii="Times New Roman" w:eastAsia="Times New Roman" w:hAnsi="Times New Roman" w:cs="Times New Roman"/>
          <w:sz w:val="24"/>
          <w:szCs w:val="24"/>
        </w:rPr>
        <w:t xml:space="preserve">of social partners in the design and implementation of relevant policies and reforms is essential to increase their ownership and </w:t>
      </w:r>
      <w:r w:rsidR="00067C23">
        <w:rPr>
          <w:rFonts w:ascii="Times New Roman" w:eastAsia="Times New Roman" w:hAnsi="Times New Roman" w:cs="Times New Roman"/>
          <w:sz w:val="24"/>
          <w:szCs w:val="24"/>
        </w:rPr>
        <w:t>effectiveness</w:t>
      </w:r>
      <w:r>
        <w:rPr>
          <w:rFonts w:ascii="Times New Roman" w:eastAsia="Times New Roman" w:hAnsi="Times New Roman" w:cs="Times New Roman"/>
          <w:sz w:val="24"/>
          <w:szCs w:val="24"/>
        </w:rPr>
        <w:t xml:space="preserve">. </w:t>
      </w:r>
    </w:p>
    <w:p w:rsidR="00E729AF" w:rsidRPr="002C3C7A" w:rsidRDefault="00E729AF" w:rsidP="00C278FF">
      <w:pPr>
        <w:spacing w:before="100" w:beforeAutospacing="1" w:after="100" w:afterAutospacing="1"/>
        <w:jc w:val="both"/>
        <w:rPr>
          <w:rFonts w:ascii="Times New Roman" w:hAnsi="Times New Roman" w:cs="Times New Roman"/>
          <w:i/>
          <w:sz w:val="24"/>
          <w:szCs w:val="24"/>
        </w:rPr>
      </w:pPr>
      <w:r w:rsidRPr="002C3C7A">
        <w:rPr>
          <w:rFonts w:ascii="Times New Roman" w:hAnsi="Times New Roman" w:cs="Times New Roman"/>
          <w:i/>
          <w:sz w:val="24"/>
          <w:szCs w:val="24"/>
        </w:rPr>
        <w:t>Social protection systems and inequality</w:t>
      </w:r>
    </w:p>
    <w:p w:rsidR="00E729AF" w:rsidRPr="002C3C7A" w:rsidRDefault="00E729AF" w:rsidP="00991AC3">
      <w:pPr>
        <w:spacing w:before="100" w:beforeAutospacing="1" w:after="100" w:afterAutospacing="1"/>
        <w:jc w:val="both"/>
        <w:rPr>
          <w:rFonts w:ascii="Times New Roman" w:hAnsi="Times New Roman" w:cs="Times New Roman"/>
          <w:sz w:val="24"/>
          <w:szCs w:val="24"/>
        </w:rPr>
      </w:pPr>
      <w:r w:rsidRPr="002C3C7A">
        <w:rPr>
          <w:rFonts w:ascii="Times New Roman" w:hAnsi="Times New Roman" w:cs="Times New Roman"/>
          <w:b/>
          <w:sz w:val="24"/>
          <w:szCs w:val="24"/>
        </w:rPr>
        <w:lastRenderedPageBreak/>
        <w:t xml:space="preserve">Social protection systems must provide </w:t>
      </w:r>
      <w:r w:rsidR="00043505" w:rsidRPr="00087B87">
        <w:rPr>
          <w:rFonts w:ascii="Times New Roman" w:hAnsi="Times New Roman" w:cs="Times New Roman"/>
          <w:b/>
          <w:sz w:val="24"/>
          <w:szCs w:val="24"/>
        </w:rPr>
        <w:t>enabling services</w:t>
      </w:r>
      <w:r w:rsidR="00043505" w:rsidRPr="001D759E">
        <w:rPr>
          <w:rFonts w:ascii="Times New Roman" w:hAnsi="Times New Roman" w:cs="Times New Roman"/>
          <w:b/>
          <w:sz w:val="24"/>
          <w:szCs w:val="24"/>
        </w:rPr>
        <w:t xml:space="preserve"> to all </w:t>
      </w:r>
      <w:r w:rsidR="00043505">
        <w:rPr>
          <w:rFonts w:ascii="Times New Roman" w:hAnsi="Times New Roman" w:cs="Times New Roman"/>
          <w:b/>
          <w:sz w:val="24"/>
          <w:szCs w:val="24"/>
        </w:rPr>
        <w:t xml:space="preserve">and </w:t>
      </w:r>
      <w:r w:rsidRPr="002C3C7A">
        <w:rPr>
          <w:rFonts w:ascii="Times New Roman" w:hAnsi="Times New Roman" w:cs="Times New Roman"/>
          <w:b/>
          <w:sz w:val="24"/>
          <w:szCs w:val="24"/>
        </w:rPr>
        <w:t xml:space="preserve">adequate </w:t>
      </w:r>
      <w:r w:rsidR="006B469E">
        <w:rPr>
          <w:rFonts w:ascii="Times New Roman" w:hAnsi="Times New Roman" w:cs="Times New Roman"/>
          <w:b/>
          <w:sz w:val="24"/>
          <w:szCs w:val="24"/>
        </w:rPr>
        <w:t xml:space="preserve">income </w:t>
      </w:r>
      <w:r w:rsidRPr="002C3C7A">
        <w:rPr>
          <w:rFonts w:ascii="Times New Roman" w:hAnsi="Times New Roman" w:cs="Times New Roman"/>
          <w:b/>
          <w:sz w:val="24"/>
          <w:szCs w:val="24"/>
        </w:rPr>
        <w:t>support to those in need, while fostering employment</w:t>
      </w:r>
      <w:r w:rsidR="00067C23">
        <w:rPr>
          <w:rFonts w:ascii="Times New Roman" w:hAnsi="Times New Roman" w:cs="Times New Roman"/>
          <w:b/>
          <w:sz w:val="24"/>
          <w:szCs w:val="24"/>
        </w:rPr>
        <w:t xml:space="preserve"> and participation in the labour market for those who can</w:t>
      </w:r>
      <w:r w:rsidRPr="002C3C7A">
        <w:rPr>
          <w:rFonts w:ascii="Times New Roman" w:hAnsi="Times New Roman" w:cs="Times New Roman"/>
          <w:b/>
          <w:sz w:val="24"/>
          <w:szCs w:val="24"/>
        </w:rPr>
        <w:t>.</w:t>
      </w:r>
      <w:r w:rsidRPr="002C3C7A">
        <w:rPr>
          <w:rFonts w:ascii="Times New Roman" w:hAnsi="Times New Roman" w:cs="Times New Roman"/>
          <w:sz w:val="24"/>
          <w:szCs w:val="24"/>
        </w:rPr>
        <w:t xml:space="preserve"> An appropriate balance</w:t>
      </w:r>
      <w:r w:rsidR="003A792A" w:rsidRPr="002C3C7A">
        <w:rPr>
          <w:rFonts w:ascii="Times New Roman" w:hAnsi="Times New Roman" w:cs="Times New Roman"/>
          <w:sz w:val="24"/>
          <w:szCs w:val="24"/>
        </w:rPr>
        <w:t xml:space="preserve"> is needed</w:t>
      </w:r>
      <w:r w:rsidRPr="002C3C7A">
        <w:rPr>
          <w:rFonts w:ascii="Times New Roman" w:hAnsi="Times New Roman" w:cs="Times New Roman"/>
          <w:sz w:val="24"/>
          <w:szCs w:val="24"/>
        </w:rPr>
        <w:t xml:space="preserve"> between </w:t>
      </w:r>
      <w:r w:rsidR="00067C23">
        <w:rPr>
          <w:rFonts w:ascii="Times New Roman" w:hAnsi="Times New Roman" w:cs="Times New Roman"/>
          <w:sz w:val="24"/>
          <w:szCs w:val="24"/>
        </w:rPr>
        <w:t>adaptability</w:t>
      </w:r>
      <w:r w:rsidR="00067C23" w:rsidRPr="002C3C7A">
        <w:rPr>
          <w:rFonts w:ascii="Times New Roman" w:hAnsi="Times New Roman" w:cs="Times New Roman"/>
          <w:sz w:val="24"/>
          <w:szCs w:val="24"/>
        </w:rPr>
        <w:t xml:space="preserve"> </w:t>
      </w:r>
      <w:r w:rsidRPr="002C3C7A">
        <w:rPr>
          <w:rFonts w:ascii="Times New Roman" w:hAnsi="Times New Roman" w:cs="Times New Roman"/>
          <w:sz w:val="24"/>
          <w:szCs w:val="24"/>
        </w:rPr>
        <w:t>and security</w:t>
      </w:r>
      <w:r w:rsidR="003A792A" w:rsidRPr="002C3C7A">
        <w:rPr>
          <w:rFonts w:ascii="Times New Roman" w:hAnsi="Times New Roman" w:cs="Times New Roman"/>
          <w:sz w:val="24"/>
          <w:szCs w:val="24"/>
        </w:rPr>
        <w:t>,</w:t>
      </w:r>
      <w:r w:rsidRPr="002C3C7A">
        <w:rPr>
          <w:rFonts w:ascii="Times New Roman" w:hAnsi="Times New Roman" w:cs="Times New Roman"/>
          <w:sz w:val="24"/>
          <w:szCs w:val="24"/>
        </w:rPr>
        <w:t xml:space="preserve"> </w:t>
      </w:r>
      <w:r w:rsidR="003A792A" w:rsidRPr="002C3C7A">
        <w:rPr>
          <w:rFonts w:ascii="Times New Roman" w:hAnsi="Times New Roman" w:cs="Times New Roman"/>
          <w:sz w:val="24"/>
          <w:szCs w:val="24"/>
        </w:rPr>
        <w:t xml:space="preserve">including an adequate level, coverage and duration of </w:t>
      </w:r>
      <w:r w:rsidRPr="002C3C7A">
        <w:rPr>
          <w:rFonts w:ascii="Times New Roman" w:hAnsi="Times New Roman" w:cs="Times New Roman"/>
          <w:sz w:val="24"/>
          <w:szCs w:val="24"/>
        </w:rPr>
        <w:t xml:space="preserve">social protection. Reforms </w:t>
      </w:r>
      <w:r w:rsidR="00043505">
        <w:rPr>
          <w:rFonts w:ascii="Times New Roman" w:hAnsi="Times New Roman" w:cs="Times New Roman"/>
          <w:sz w:val="24"/>
          <w:szCs w:val="24"/>
        </w:rPr>
        <w:t xml:space="preserve">that make work pay </w:t>
      </w:r>
      <w:r w:rsidRPr="002C3C7A">
        <w:rPr>
          <w:rFonts w:ascii="Times New Roman" w:hAnsi="Times New Roman" w:cs="Times New Roman"/>
          <w:sz w:val="24"/>
          <w:szCs w:val="24"/>
        </w:rPr>
        <w:t xml:space="preserve">are </w:t>
      </w:r>
      <w:r w:rsidR="00067C23">
        <w:rPr>
          <w:rFonts w:ascii="Times New Roman" w:hAnsi="Times New Roman" w:cs="Times New Roman"/>
          <w:sz w:val="24"/>
          <w:szCs w:val="24"/>
        </w:rPr>
        <w:t>also n</w:t>
      </w:r>
      <w:r w:rsidRPr="002C3C7A">
        <w:rPr>
          <w:rFonts w:ascii="Times New Roman" w:hAnsi="Times New Roman" w:cs="Times New Roman"/>
          <w:sz w:val="24"/>
          <w:szCs w:val="24"/>
        </w:rPr>
        <w:t xml:space="preserve">eeded to encourage transitions into employment. </w:t>
      </w:r>
    </w:p>
    <w:p w:rsidR="00E729AF" w:rsidRPr="002C3C7A" w:rsidRDefault="00E729AF" w:rsidP="00991AC3">
      <w:pPr>
        <w:spacing w:before="100" w:beforeAutospacing="1" w:after="100" w:afterAutospacing="1"/>
        <w:jc w:val="both"/>
        <w:rPr>
          <w:rFonts w:ascii="Times New Roman" w:eastAsia="Calibri" w:hAnsi="Times New Roman" w:cs="Times New Roman"/>
          <w:sz w:val="24"/>
          <w:szCs w:val="24"/>
        </w:rPr>
      </w:pPr>
      <w:r w:rsidRPr="002C3C7A">
        <w:rPr>
          <w:rFonts w:ascii="Times New Roman" w:hAnsi="Times New Roman" w:cs="Times New Roman"/>
          <w:b/>
          <w:sz w:val="24"/>
          <w:szCs w:val="24"/>
        </w:rPr>
        <w:t xml:space="preserve">Income inequality </w:t>
      </w:r>
      <w:r w:rsidR="006B469E">
        <w:rPr>
          <w:rFonts w:ascii="Times New Roman" w:hAnsi="Times New Roman" w:cs="Times New Roman"/>
          <w:b/>
          <w:sz w:val="24"/>
          <w:szCs w:val="24"/>
        </w:rPr>
        <w:t xml:space="preserve">and poverty </w:t>
      </w:r>
      <w:r w:rsidRPr="002C3C7A">
        <w:rPr>
          <w:rFonts w:ascii="Times New Roman" w:hAnsi="Times New Roman" w:cs="Times New Roman"/>
          <w:b/>
          <w:sz w:val="24"/>
          <w:szCs w:val="24"/>
        </w:rPr>
        <w:t xml:space="preserve">need to be addressed when designing policy reforms and monitoring their implementation. </w:t>
      </w:r>
      <w:r w:rsidRPr="002C3C7A">
        <w:rPr>
          <w:rFonts w:ascii="Times New Roman" w:hAnsi="Times New Roman" w:cs="Times New Roman"/>
          <w:sz w:val="24"/>
          <w:szCs w:val="24"/>
        </w:rPr>
        <w:t xml:space="preserve">As outlined in the Annual Growth Survey and further supported by the analysis in the country reports, critical </w:t>
      </w:r>
      <w:r w:rsidR="00CA5BEE">
        <w:rPr>
          <w:rFonts w:ascii="Times New Roman" w:hAnsi="Times New Roman" w:cs="Times New Roman"/>
          <w:sz w:val="24"/>
          <w:szCs w:val="24"/>
        </w:rPr>
        <w:t xml:space="preserve">new </w:t>
      </w:r>
      <w:r w:rsidRPr="002C3C7A">
        <w:rPr>
          <w:rFonts w:ascii="Times New Roman" w:hAnsi="Times New Roman" w:cs="Times New Roman"/>
          <w:sz w:val="24"/>
          <w:szCs w:val="24"/>
        </w:rPr>
        <w:t>socio-economic developments have been identified in some Member States</w:t>
      </w:r>
      <w:r w:rsidR="00CA5BEE">
        <w:rPr>
          <w:rFonts w:ascii="Times New Roman" w:hAnsi="Times New Roman" w:cs="Times New Roman"/>
          <w:sz w:val="24"/>
          <w:szCs w:val="24"/>
        </w:rPr>
        <w:t xml:space="preserve">. These concern </w:t>
      </w:r>
      <w:r w:rsidRPr="002C3C7A">
        <w:rPr>
          <w:rFonts w:ascii="Times New Roman" w:hAnsi="Times New Roman" w:cs="Times New Roman"/>
          <w:sz w:val="24"/>
          <w:szCs w:val="24"/>
        </w:rPr>
        <w:t xml:space="preserve">income inequalities or socio-economic inequalities in education </w:t>
      </w:r>
      <w:r w:rsidR="00B65BF7">
        <w:rPr>
          <w:rFonts w:ascii="Times New Roman" w:hAnsi="Times New Roman" w:cs="Times New Roman"/>
          <w:sz w:val="24"/>
          <w:szCs w:val="24"/>
        </w:rPr>
        <w:t xml:space="preserve">and health </w:t>
      </w:r>
      <w:r w:rsidRPr="002C3C7A">
        <w:rPr>
          <w:rFonts w:ascii="Times New Roman" w:hAnsi="Times New Roman" w:cs="Times New Roman"/>
          <w:sz w:val="24"/>
          <w:szCs w:val="24"/>
        </w:rPr>
        <w:t>outcomes. Th</w:t>
      </w:r>
      <w:r w:rsidR="00CA5BEE">
        <w:rPr>
          <w:rFonts w:ascii="Times New Roman" w:hAnsi="Times New Roman" w:cs="Times New Roman"/>
          <w:sz w:val="24"/>
          <w:szCs w:val="24"/>
        </w:rPr>
        <w:t>ese</w:t>
      </w:r>
      <w:r w:rsidRPr="002C3C7A">
        <w:rPr>
          <w:rFonts w:ascii="Times New Roman" w:hAnsi="Times New Roman" w:cs="Times New Roman"/>
          <w:sz w:val="24"/>
          <w:szCs w:val="24"/>
        </w:rPr>
        <w:t xml:space="preserve"> need to be considered when designing economic policies. In addition, Member States with the </w:t>
      </w:r>
      <w:r w:rsidR="00CA5BEE">
        <w:rPr>
          <w:rFonts w:ascii="Times New Roman" w:hAnsi="Times New Roman" w:cs="Times New Roman"/>
          <w:sz w:val="24"/>
          <w:szCs w:val="24"/>
        </w:rPr>
        <w:t xml:space="preserve">greatest levels of </w:t>
      </w:r>
      <w:r w:rsidRPr="002C3C7A">
        <w:rPr>
          <w:rFonts w:ascii="Times New Roman" w:hAnsi="Times New Roman" w:cs="Times New Roman"/>
          <w:sz w:val="24"/>
          <w:szCs w:val="24"/>
        </w:rPr>
        <w:t>inequality tend to have higher poverty rates. Tackling income inequality and poverty requires a comprehensive set of preventive and mitigating policies</w:t>
      </w:r>
      <w:r w:rsidR="00CA5BEE">
        <w:rPr>
          <w:rFonts w:ascii="Times New Roman" w:hAnsi="Times New Roman" w:cs="Times New Roman"/>
          <w:sz w:val="24"/>
          <w:szCs w:val="24"/>
        </w:rPr>
        <w:t>. These</w:t>
      </w:r>
      <w:r w:rsidRPr="002C3C7A">
        <w:rPr>
          <w:rFonts w:ascii="Times New Roman" w:hAnsi="Times New Roman" w:cs="Times New Roman"/>
          <w:sz w:val="24"/>
          <w:szCs w:val="24"/>
        </w:rPr>
        <w:t xml:space="preserve"> include equal access to education and health care, </w:t>
      </w:r>
      <w:r w:rsidR="00067C23">
        <w:rPr>
          <w:rFonts w:ascii="Times New Roman" w:hAnsi="Times New Roman" w:cs="Times New Roman"/>
          <w:sz w:val="24"/>
          <w:szCs w:val="24"/>
        </w:rPr>
        <w:t>improved</w:t>
      </w:r>
      <w:r w:rsidR="00067C23" w:rsidRPr="002C3C7A">
        <w:rPr>
          <w:rFonts w:ascii="Times New Roman" w:hAnsi="Times New Roman" w:cs="Times New Roman"/>
          <w:sz w:val="24"/>
          <w:szCs w:val="24"/>
        </w:rPr>
        <w:t xml:space="preserve"> </w:t>
      </w:r>
      <w:r w:rsidRPr="002C3C7A">
        <w:rPr>
          <w:rFonts w:ascii="Times New Roman" w:hAnsi="Times New Roman" w:cs="Times New Roman"/>
          <w:sz w:val="24"/>
          <w:szCs w:val="24"/>
        </w:rPr>
        <w:t>labour market opportunities and earnings</w:t>
      </w:r>
      <w:r w:rsidR="003A792A" w:rsidRPr="002C3C7A">
        <w:rPr>
          <w:rFonts w:ascii="Times New Roman" w:hAnsi="Times New Roman" w:cs="Times New Roman"/>
          <w:sz w:val="24"/>
          <w:szCs w:val="24"/>
        </w:rPr>
        <w:t xml:space="preserve"> prospects</w:t>
      </w:r>
      <w:r w:rsidRPr="002C3C7A">
        <w:rPr>
          <w:rFonts w:ascii="Times New Roman" w:hAnsi="Times New Roman" w:cs="Times New Roman"/>
          <w:sz w:val="24"/>
          <w:szCs w:val="24"/>
        </w:rPr>
        <w:t xml:space="preserve">, affordable quality services and </w:t>
      </w:r>
      <w:r w:rsidR="003A792A" w:rsidRPr="002C3C7A">
        <w:rPr>
          <w:rFonts w:ascii="Times New Roman" w:hAnsi="Times New Roman" w:cs="Times New Roman"/>
          <w:sz w:val="24"/>
          <w:szCs w:val="24"/>
        </w:rPr>
        <w:t xml:space="preserve">well-designed </w:t>
      </w:r>
      <w:r w:rsidRPr="002C3C7A">
        <w:rPr>
          <w:rFonts w:ascii="Times New Roman" w:hAnsi="Times New Roman" w:cs="Times New Roman"/>
          <w:sz w:val="24"/>
          <w:szCs w:val="24"/>
        </w:rPr>
        <w:t xml:space="preserve">tax and benefit systems. </w:t>
      </w:r>
    </w:p>
    <w:p w:rsidR="00E729AF" w:rsidRPr="002C3C7A" w:rsidRDefault="00E729AF" w:rsidP="00991AC3">
      <w:pPr>
        <w:spacing w:before="100" w:beforeAutospacing="1" w:after="100" w:afterAutospacing="1"/>
        <w:jc w:val="both"/>
        <w:rPr>
          <w:rFonts w:ascii="Times New Roman" w:hAnsi="Times New Roman" w:cs="Times New Roman"/>
          <w:sz w:val="24"/>
          <w:szCs w:val="24"/>
        </w:rPr>
      </w:pPr>
      <w:r w:rsidRPr="002C3C7A">
        <w:rPr>
          <w:rFonts w:ascii="Times New Roman" w:hAnsi="Times New Roman" w:cs="Times New Roman"/>
          <w:b/>
          <w:sz w:val="24"/>
          <w:szCs w:val="24"/>
        </w:rPr>
        <w:t xml:space="preserve">Tax and benefit systems combined, through the progressiveness of tax systems, good tax collection and the provision of </w:t>
      </w:r>
      <w:r w:rsidR="003A792A" w:rsidRPr="002C3C7A">
        <w:rPr>
          <w:rFonts w:ascii="Times New Roman" w:hAnsi="Times New Roman" w:cs="Times New Roman"/>
          <w:b/>
          <w:sz w:val="24"/>
          <w:szCs w:val="24"/>
        </w:rPr>
        <w:t xml:space="preserve">adequate </w:t>
      </w:r>
      <w:r w:rsidRPr="002C3C7A">
        <w:rPr>
          <w:rFonts w:ascii="Times New Roman" w:hAnsi="Times New Roman" w:cs="Times New Roman"/>
          <w:b/>
          <w:sz w:val="24"/>
          <w:szCs w:val="24"/>
        </w:rPr>
        <w:t xml:space="preserve">social benefits, can contribute </w:t>
      </w:r>
      <w:r w:rsidRPr="00AE2023">
        <w:rPr>
          <w:rFonts w:ascii="Times New Roman" w:hAnsi="Times New Roman" w:cs="Times New Roman"/>
          <w:b/>
          <w:sz w:val="24"/>
          <w:szCs w:val="24"/>
        </w:rPr>
        <w:t xml:space="preserve">to </w:t>
      </w:r>
      <w:r w:rsidR="00D402D3">
        <w:rPr>
          <w:rFonts w:ascii="Times New Roman" w:hAnsi="Times New Roman" w:cs="Times New Roman"/>
          <w:b/>
          <w:sz w:val="24"/>
          <w:szCs w:val="24"/>
        </w:rPr>
        <w:t xml:space="preserve">steering </w:t>
      </w:r>
      <w:r w:rsidR="00067C23" w:rsidRPr="00AE2023">
        <w:rPr>
          <w:rFonts w:ascii="Times New Roman" w:hAnsi="Times New Roman" w:cs="Times New Roman"/>
          <w:b/>
          <w:sz w:val="24"/>
          <w:szCs w:val="24"/>
        </w:rPr>
        <w:t xml:space="preserve">employment </w:t>
      </w:r>
      <w:r w:rsidR="00067C23">
        <w:rPr>
          <w:rFonts w:ascii="Times New Roman" w:hAnsi="Times New Roman" w:cs="Times New Roman"/>
          <w:b/>
          <w:sz w:val="24"/>
          <w:szCs w:val="24"/>
        </w:rPr>
        <w:t xml:space="preserve">and </w:t>
      </w:r>
      <w:r w:rsidRPr="002C3C7A">
        <w:rPr>
          <w:rFonts w:ascii="Times New Roman" w:hAnsi="Times New Roman" w:cs="Times New Roman"/>
          <w:b/>
          <w:sz w:val="24"/>
          <w:szCs w:val="24"/>
        </w:rPr>
        <w:t>reducing income inequalities and poverty</w:t>
      </w:r>
      <w:r w:rsidRPr="002C3C7A">
        <w:rPr>
          <w:rFonts w:ascii="Times New Roman" w:hAnsi="Times New Roman" w:cs="Times New Roman"/>
          <w:sz w:val="24"/>
          <w:szCs w:val="24"/>
        </w:rPr>
        <w:t xml:space="preserve">. While </w:t>
      </w:r>
      <w:r w:rsidR="00C57623" w:rsidRPr="00C57623">
        <w:rPr>
          <w:rFonts w:ascii="Times New Roman" w:hAnsi="Times New Roman" w:cs="Times New Roman"/>
          <w:sz w:val="24"/>
          <w:szCs w:val="24"/>
        </w:rPr>
        <w:t>the design of national tax systems</w:t>
      </w:r>
      <w:r w:rsidR="00067C23">
        <w:rPr>
          <w:rFonts w:ascii="Times New Roman" w:hAnsi="Times New Roman" w:cs="Times New Roman"/>
          <w:sz w:val="24"/>
          <w:szCs w:val="24"/>
        </w:rPr>
        <w:t xml:space="preserve"> is</w:t>
      </w:r>
      <w:r w:rsidRPr="002C3C7A">
        <w:rPr>
          <w:rFonts w:ascii="Times New Roman" w:hAnsi="Times New Roman" w:cs="Times New Roman"/>
          <w:sz w:val="24"/>
          <w:szCs w:val="24"/>
        </w:rPr>
        <w:t xml:space="preserve"> a prerogative of the Member States,</w:t>
      </w:r>
      <w:r w:rsidR="00067C23">
        <w:rPr>
          <w:rFonts w:ascii="Times New Roman" w:hAnsi="Times New Roman" w:cs="Times New Roman"/>
          <w:sz w:val="24"/>
          <w:szCs w:val="24"/>
        </w:rPr>
        <w:t xml:space="preserve"> experience shows that</w:t>
      </w:r>
      <w:r w:rsidRPr="002C3C7A">
        <w:rPr>
          <w:rFonts w:ascii="Times New Roman" w:hAnsi="Times New Roman" w:cs="Times New Roman"/>
          <w:sz w:val="24"/>
          <w:szCs w:val="24"/>
        </w:rPr>
        <w:t xml:space="preserve"> </w:t>
      </w:r>
      <w:r w:rsidR="00067C23">
        <w:rPr>
          <w:rFonts w:ascii="Times New Roman" w:hAnsi="Times New Roman" w:cs="Times New Roman"/>
          <w:sz w:val="24"/>
          <w:szCs w:val="24"/>
        </w:rPr>
        <w:t xml:space="preserve">a low </w:t>
      </w:r>
      <w:r w:rsidRPr="002C3C7A">
        <w:rPr>
          <w:rFonts w:ascii="Times New Roman" w:hAnsi="Times New Roman" w:cs="Times New Roman"/>
          <w:sz w:val="24"/>
          <w:szCs w:val="24"/>
        </w:rPr>
        <w:t xml:space="preserve">tax progressivity, combined with poor tax collection and a weak social safety net, </w:t>
      </w:r>
      <w:r w:rsidR="00346FCB">
        <w:rPr>
          <w:rFonts w:ascii="Times New Roman" w:hAnsi="Times New Roman" w:cs="Times New Roman"/>
          <w:sz w:val="24"/>
          <w:szCs w:val="24"/>
        </w:rPr>
        <w:t xml:space="preserve">is </w:t>
      </w:r>
      <w:r w:rsidR="00C57623">
        <w:rPr>
          <w:rFonts w:ascii="Times New Roman" w:hAnsi="Times New Roman" w:cs="Times New Roman"/>
          <w:sz w:val="24"/>
          <w:szCs w:val="24"/>
        </w:rPr>
        <w:t xml:space="preserve">damaging to </w:t>
      </w:r>
      <w:r w:rsidRPr="002C3C7A">
        <w:rPr>
          <w:rFonts w:ascii="Times New Roman" w:hAnsi="Times New Roman" w:cs="Times New Roman"/>
          <w:sz w:val="24"/>
          <w:szCs w:val="24"/>
        </w:rPr>
        <w:t>society and economic growth. In this context, a number of recommendations have been made to improve the adequacy and coverage of safety nets (</w:t>
      </w:r>
      <w:r w:rsidR="00CA35DD">
        <w:rPr>
          <w:rFonts w:ascii="Times New Roman" w:hAnsi="Times New Roman" w:cs="Times New Roman"/>
          <w:sz w:val="24"/>
          <w:szCs w:val="24"/>
        </w:rPr>
        <w:t>for example</w:t>
      </w:r>
      <w:r w:rsidRPr="002C3C7A">
        <w:rPr>
          <w:rFonts w:ascii="Times New Roman" w:hAnsi="Times New Roman" w:cs="Times New Roman"/>
          <w:sz w:val="24"/>
          <w:szCs w:val="24"/>
        </w:rPr>
        <w:t xml:space="preserve"> regarding minimum income) and the transparency and coordination of social benefits. </w:t>
      </w:r>
    </w:p>
    <w:p w:rsidR="00E729AF" w:rsidRPr="002C3C7A" w:rsidRDefault="00E729AF" w:rsidP="00991AC3">
      <w:pPr>
        <w:keepNext/>
        <w:spacing w:before="100" w:beforeAutospacing="1" w:after="100" w:afterAutospacing="1"/>
        <w:jc w:val="both"/>
        <w:rPr>
          <w:rFonts w:ascii="Times New Roman" w:hAnsi="Times New Roman" w:cs="Times New Roman"/>
          <w:i/>
          <w:sz w:val="24"/>
          <w:szCs w:val="24"/>
        </w:rPr>
      </w:pPr>
      <w:r w:rsidRPr="002C3C7A">
        <w:rPr>
          <w:rFonts w:ascii="Times New Roman" w:hAnsi="Times New Roman" w:cs="Times New Roman"/>
          <w:i/>
          <w:sz w:val="24"/>
          <w:szCs w:val="24"/>
        </w:rPr>
        <w:t xml:space="preserve">Education </w:t>
      </w:r>
    </w:p>
    <w:p w:rsidR="00E729AF" w:rsidRPr="002C3C7A" w:rsidRDefault="00E729AF" w:rsidP="00991AC3">
      <w:pPr>
        <w:spacing w:before="100" w:beforeAutospacing="1" w:after="100" w:afterAutospacing="1"/>
        <w:jc w:val="both"/>
        <w:rPr>
          <w:rFonts w:ascii="Times New Roman" w:hAnsi="Times New Roman" w:cs="Times New Roman"/>
          <w:sz w:val="24"/>
          <w:szCs w:val="24"/>
        </w:rPr>
      </w:pPr>
      <w:r w:rsidRPr="002C3C7A">
        <w:rPr>
          <w:rFonts w:ascii="Times New Roman" w:hAnsi="Times New Roman" w:cs="Times New Roman"/>
          <w:b/>
          <w:sz w:val="24"/>
          <w:szCs w:val="24"/>
        </w:rPr>
        <w:t>Better skills are essential for improving</w:t>
      </w:r>
      <w:r w:rsidR="00C57623">
        <w:rPr>
          <w:rFonts w:ascii="Times New Roman" w:hAnsi="Times New Roman" w:cs="Times New Roman"/>
          <w:b/>
          <w:sz w:val="24"/>
          <w:szCs w:val="24"/>
        </w:rPr>
        <w:t xml:space="preserve"> people’s</w:t>
      </w:r>
      <w:r w:rsidRPr="002C3C7A">
        <w:rPr>
          <w:rFonts w:ascii="Times New Roman" w:hAnsi="Times New Roman" w:cs="Times New Roman"/>
          <w:b/>
          <w:sz w:val="24"/>
          <w:szCs w:val="24"/>
        </w:rPr>
        <w:t xml:space="preserve"> prospects </w:t>
      </w:r>
      <w:r w:rsidR="00C57623">
        <w:rPr>
          <w:rFonts w:ascii="Times New Roman" w:hAnsi="Times New Roman" w:cs="Times New Roman"/>
          <w:b/>
          <w:sz w:val="24"/>
          <w:szCs w:val="24"/>
        </w:rPr>
        <w:t>i</w:t>
      </w:r>
      <w:r w:rsidRPr="002C3C7A">
        <w:rPr>
          <w:rFonts w:ascii="Times New Roman" w:hAnsi="Times New Roman" w:cs="Times New Roman"/>
          <w:b/>
          <w:sz w:val="24"/>
          <w:szCs w:val="24"/>
        </w:rPr>
        <w:t>n the labour market</w:t>
      </w:r>
      <w:r w:rsidR="00B65BF7">
        <w:rPr>
          <w:rFonts w:ascii="Times New Roman" w:hAnsi="Times New Roman" w:cs="Times New Roman"/>
          <w:b/>
          <w:sz w:val="24"/>
          <w:szCs w:val="24"/>
        </w:rPr>
        <w:t xml:space="preserve"> and sustaining innovation and productivity growth</w:t>
      </w:r>
      <w:r w:rsidRPr="002C3C7A">
        <w:rPr>
          <w:rFonts w:ascii="Times New Roman" w:hAnsi="Times New Roman" w:cs="Times New Roman"/>
          <w:b/>
          <w:sz w:val="24"/>
          <w:szCs w:val="24"/>
        </w:rPr>
        <w:t xml:space="preserve">. </w:t>
      </w:r>
      <w:r w:rsidR="00C57623" w:rsidRPr="001342DD">
        <w:rPr>
          <w:rFonts w:ascii="Times New Roman" w:hAnsi="Times New Roman" w:cs="Times New Roman"/>
          <w:sz w:val="24"/>
          <w:szCs w:val="24"/>
        </w:rPr>
        <w:t xml:space="preserve">Workers who are </w:t>
      </w:r>
      <w:r w:rsidR="00C57623" w:rsidRPr="00C57623">
        <w:rPr>
          <w:rFonts w:ascii="Times New Roman" w:hAnsi="Times New Roman" w:cs="Times New Roman"/>
          <w:sz w:val="24"/>
          <w:szCs w:val="24"/>
        </w:rPr>
        <w:t>l</w:t>
      </w:r>
      <w:r w:rsidRPr="002C3C7A">
        <w:rPr>
          <w:rFonts w:ascii="Times New Roman" w:hAnsi="Times New Roman" w:cs="Times New Roman"/>
          <w:sz w:val="24"/>
          <w:szCs w:val="24"/>
        </w:rPr>
        <w:t>ow</w:t>
      </w:r>
      <w:r w:rsidR="00C57623">
        <w:rPr>
          <w:rFonts w:ascii="Times New Roman" w:hAnsi="Times New Roman" w:cs="Times New Roman"/>
          <w:sz w:val="24"/>
          <w:szCs w:val="24"/>
        </w:rPr>
        <w:t>-</w:t>
      </w:r>
      <w:r w:rsidRPr="002C3C7A">
        <w:rPr>
          <w:rFonts w:ascii="Times New Roman" w:hAnsi="Times New Roman" w:cs="Times New Roman"/>
          <w:sz w:val="24"/>
          <w:szCs w:val="24"/>
        </w:rPr>
        <w:t>skilled have low</w:t>
      </w:r>
      <w:r w:rsidR="00664B52">
        <w:rPr>
          <w:rFonts w:ascii="Times New Roman" w:hAnsi="Times New Roman" w:cs="Times New Roman"/>
          <w:sz w:val="24"/>
          <w:szCs w:val="24"/>
        </w:rPr>
        <w:t>er</w:t>
      </w:r>
      <w:r w:rsidRPr="002C3C7A">
        <w:rPr>
          <w:rFonts w:ascii="Times New Roman" w:hAnsi="Times New Roman" w:cs="Times New Roman"/>
          <w:sz w:val="24"/>
          <w:szCs w:val="24"/>
        </w:rPr>
        <w:t xml:space="preserve"> employment rates and make up a large </w:t>
      </w:r>
      <w:r w:rsidR="00C57623">
        <w:rPr>
          <w:rFonts w:ascii="Times New Roman" w:hAnsi="Times New Roman" w:cs="Times New Roman"/>
          <w:sz w:val="24"/>
          <w:szCs w:val="24"/>
        </w:rPr>
        <w:t xml:space="preserve">proportion </w:t>
      </w:r>
      <w:r w:rsidRPr="002C3C7A">
        <w:rPr>
          <w:rFonts w:ascii="Times New Roman" w:hAnsi="Times New Roman" w:cs="Times New Roman"/>
          <w:sz w:val="24"/>
          <w:szCs w:val="24"/>
        </w:rPr>
        <w:t>of the long-term unemployed. Investing in skills and supporting transitions from lower-skilled to higher-skilled employment and career opportunities is also crucial to master</w:t>
      </w:r>
      <w:r w:rsidR="00C57623">
        <w:rPr>
          <w:rFonts w:ascii="Times New Roman" w:hAnsi="Times New Roman" w:cs="Times New Roman"/>
          <w:sz w:val="24"/>
          <w:szCs w:val="24"/>
        </w:rPr>
        <w:t>ing</w:t>
      </w:r>
      <w:r w:rsidRPr="002C3C7A">
        <w:rPr>
          <w:rFonts w:ascii="Times New Roman" w:hAnsi="Times New Roman" w:cs="Times New Roman"/>
          <w:sz w:val="24"/>
          <w:szCs w:val="24"/>
        </w:rPr>
        <w:t xml:space="preserve"> technological progress, sustain</w:t>
      </w:r>
      <w:r w:rsidR="00C57623">
        <w:rPr>
          <w:rFonts w:ascii="Times New Roman" w:hAnsi="Times New Roman" w:cs="Times New Roman"/>
          <w:sz w:val="24"/>
          <w:szCs w:val="24"/>
        </w:rPr>
        <w:t>ing</w:t>
      </w:r>
      <w:r w:rsidRPr="002C3C7A">
        <w:rPr>
          <w:rFonts w:ascii="Times New Roman" w:hAnsi="Times New Roman" w:cs="Times New Roman"/>
          <w:sz w:val="24"/>
          <w:szCs w:val="24"/>
        </w:rPr>
        <w:t xml:space="preserve"> productivity growth and address</w:t>
      </w:r>
      <w:r w:rsidR="00C57623">
        <w:rPr>
          <w:rFonts w:ascii="Times New Roman" w:hAnsi="Times New Roman" w:cs="Times New Roman"/>
          <w:sz w:val="24"/>
          <w:szCs w:val="24"/>
        </w:rPr>
        <w:t>ing</w:t>
      </w:r>
      <w:r w:rsidRPr="002C3C7A">
        <w:rPr>
          <w:rFonts w:ascii="Times New Roman" w:hAnsi="Times New Roman" w:cs="Times New Roman"/>
          <w:sz w:val="24"/>
          <w:szCs w:val="24"/>
        </w:rPr>
        <w:t xml:space="preserve"> ageing. Reforms need to include steps to up- or re-skill the population </w:t>
      </w:r>
      <w:r w:rsidR="00664B52">
        <w:rPr>
          <w:rFonts w:ascii="Times New Roman" w:hAnsi="Times New Roman" w:cs="Times New Roman"/>
          <w:sz w:val="24"/>
          <w:szCs w:val="24"/>
        </w:rPr>
        <w:t xml:space="preserve">with basic skills </w:t>
      </w:r>
      <w:r w:rsidRPr="002C3C7A">
        <w:rPr>
          <w:rFonts w:ascii="Times New Roman" w:hAnsi="Times New Roman" w:cs="Times New Roman"/>
          <w:sz w:val="24"/>
          <w:szCs w:val="24"/>
        </w:rPr>
        <w:t xml:space="preserve">and improve the labour market relevance of education, vocational education and training, tertiary education and life-long learning. Efforts </w:t>
      </w:r>
      <w:r w:rsidR="0026156E" w:rsidRPr="002C3C7A">
        <w:rPr>
          <w:rFonts w:ascii="Times New Roman" w:hAnsi="Times New Roman" w:cs="Times New Roman"/>
          <w:sz w:val="24"/>
          <w:szCs w:val="24"/>
        </w:rPr>
        <w:t xml:space="preserve">should </w:t>
      </w:r>
      <w:r w:rsidRPr="002C3C7A">
        <w:rPr>
          <w:rFonts w:ascii="Times New Roman" w:hAnsi="Times New Roman" w:cs="Times New Roman"/>
          <w:sz w:val="24"/>
          <w:szCs w:val="24"/>
        </w:rPr>
        <w:t>also focus on reducing inequalities in access to quality education</w:t>
      </w:r>
      <w:r w:rsidR="00EE68FD" w:rsidRPr="000D40DF">
        <w:rPr>
          <w:rFonts w:ascii="Times New Roman" w:hAnsi="Times New Roman" w:cs="Times New Roman"/>
          <w:sz w:val="24"/>
          <w:szCs w:val="24"/>
        </w:rPr>
        <w:t>, in particular for disadvantaged groups such as Roma and students with a migrant background</w:t>
      </w:r>
      <w:r w:rsidRPr="002C3C7A">
        <w:rPr>
          <w:rFonts w:ascii="Times New Roman" w:hAnsi="Times New Roman" w:cs="Times New Roman"/>
          <w:sz w:val="24"/>
          <w:szCs w:val="24"/>
        </w:rPr>
        <w:t xml:space="preserve">. </w:t>
      </w:r>
      <w:r w:rsidR="00C57623">
        <w:rPr>
          <w:rFonts w:ascii="Times New Roman" w:hAnsi="Times New Roman" w:cs="Times New Roman"/>
          <w:sz w:val="24"/>
          <w:szCs w:val="24"/>
        </w:rPr>
        <w:t>All these measures</w:t>
      </w:r>
      <w:r w:rsidR="00C57623" w:rsidRPr="002C3C7A">
        <w:rPr>
          <w:rFonts w:ascii="Times New Roman" w:hAnsi="Times New Roman" w:cs="Times New Roman"/>
          <w:sz w:val="24"/>
          <w:szCs w:val="24"/>
        </w:rPr>
        <w:t xml:space="preserve"> </w:t>
      </w:r>
      <w:r w:rsidRPr="002C3C7A">
        <w:rPr>
          <w:rFonts w:ascii="Times New Roman" w:hAnsi="Times New Roman" w:cs="Times New Roman"/>
          <w:sz w:val="24"/>
          <w:szCs w:val="24"/>
        </w:rPr>
        <w:t xml:space="preserve">also highlight the important role of </w:t>
      </w:r>
      <w:r w:rsidR="00C57623">
        <w:rPr>
          <w:rFonts w:ascii="Times New Roman" w:hAnsi="Times New Roman" w:cs="Times New Roman"/>
          <w:sz w:val="24"/>
          <w:szCs w:val="24"/>
        </w:rPr>
        <w:t xml:space="preserve">the </w:t>
      </w:r>
      <w:r w:rsidRPr="002C3C7A">
        <w:rPr>
          <w:rFonts w:ascii="Times New Roman" w:hAnsi="Times New Roman" w:cs="Times New Roman"/>
          <w:sz w:val="24"/>
          <w:szCs w:val="24"/>
        </w:rPr>
        <w:t xml:space="preserve">social partners in providing high-skill, high-productivity work and lifelong learning opportunities. </w:t>
      </w:r>
      <w:r w:rsidR="00B93FAC">
        <w:rPr>
          <w:rFonts w:ascii="Times New Roman" w:hAnsi="Times New Roman" w:cs="Times New Roman"/>
          <w:sz w:val="24"/>
          <w:szCs w:val="24"/>
        </w:rPr>
        <w:t>Recommendations concerning education-</w:t>
      </w:r>
      <w:r w:rsidR="00B93FAC">
        <w:rPr>
          <w:rFonts w:ascii="Times New Roman" w:hAnsi="Times New Roman" w:cs="Times New Roman"/>
          <w:sz w:val="24"/>
          <w:szCs w:val="24"/>
        </w:rPr>
        <w:lastRenderedPageBreak/>
        <w:t xml:space="preserve">related issues are proposed this year for Austria, Belgium, Bulgaria, Spain, France, </w:t>
      </w:r>
      <w:r w:rsidR="00AF0C20">
        <w:rPr>
          <w:rFonts w:ascii="Times New Roman" w:hAnsi="Times New Roman" w:cs="Times New Roman"/>
          <w:sz w:val="24"/>
          <w:szCs w:val="24"/>
        </w:rPr>
        <w:t>Lithuania</w:t>
      </w:r>
      <w:r w:rsidR="00B93FAC">
        <w:rPr>
          <w:rFonts w:ascii="Times New Roman" w:hAnsi="Times New Roman" w:cs="Times New Roman"/>
          <w:sz w:val="24"/>
          <w:szCs w:val="24"/>
        </w:rPr>
        <w:t xml:space="preserve">, Cyprus, </w:t>
      </w:r>
      <w:r w:rsidR="009A513E">
        <w:rPr>
          <w:rFonts w:ascii="Times New Roman" w:hAnsi="Times New Roman" w:cs="Times New Roman"/>
          <w:sz w:val="24"/>
          <w:szCs w:val="24"/>
        </w:rPr>
        <w:t xml:space="preserve">Croatia, </w:t>
      </w:r>
      <w:r w:rsidR="00B93FAC">
        <w:rPr>
          <w:rFonts w:ascii="Times New Roman" w:hAnsi="Times New Roman" w:cs="Times New Roman"/>
          <w:sz w:val="24"/>
          <w:szCs w:val="24"/>
        </w:rPr>
        <w:t xml:space="preserve">Hungary, </w:t>
      </w:r>
      <w:r w:rsidR="009A513E">
        <w:rPr>
          <w:rFonts w:ascii="Times New Roman" w:hAnsi="Times New Roman" w:cs="Times New Roman"/>
          <w:sz w:val="24"/>
          <w:szCs w:val="24"/>
        </w:rPr>
        <w:t xml:space="preserve">Austria, </w:t>
      </w:r>
      <w:r w:rsidR="00B93FAC">
        <w:rPr>
          <w:rFonts w:ascii="Times New Roman" w:hAnsi="Times New Roman" w:cs="Times New Roman"/>
          <w:sz w:val="24"/>
          <w:szCs w:val="24"/>
        </w:rPr>
        <w:t xml:space="preserve">Romania, Slovakia and </w:t>
      </w:r>
      <w:r w:rsidR="00D402D3">
        <w:rPr>
          <w:rFonts w:ascii="Times New Roman" w:hAnsi="Times New Roman" w:cs="Times New Roman"/>
          <w:sz w:val="24"/>
          <w:szCs w:val="24"/>
        </w:rPr>
        <w:t xml:space="preserve">the </w:t>
      </w:r>
      <w:r w:rsidR="00B93FAC">
        <w:rPr>
          <w:rFonts w:ascii="Times New Roman" w:hAnsi="Times New Roman" w:cs="Times New Roman"/>
          <w:sz w:val="24"/>
          <w:szCs w:val="24"/>
        </w:rPr>
        <w:t xml:space="preserve">United Kingdom. </w:t>
      </w:r>
    </w:p>
    <w:p w:rsidR="00E729AF" w:rsidRPr="002C3C7A" w:rsidRDefault="00E729AF" w:rsidP="00991AC3">
      <w:pPr>
        <w:keepNext/>
        <w:spacing w:before="100" w:beforeAutospacing="1" w:after="100" w:afterAutospacing="1"/>
        <w:jc w:val="both"/>
        <w:rPr>
          <w:rFonts w:ascii="Times New Roman" w:hAnsi="Times New Roman" w:cs="Times New Roman"/>
          <w:i/>
          <w:sz w:val="24"/>
          <w:szCs w:val="24"/>
        </w:rPr>
      </w:pPr>
      <w:r w:rsidRPr="002C3C7A">
        <w:rPr>
          <w:rFonts w:ascii="Times New Roman" w:hAnsi="Times New Roman" w:cs="Times New Roman"/>
          <w:i/>
          <w:sz w:val="24"/>
          <w:szCs w:val="24"/>
        </w:rPr>
        <w:t>Financial sector</w:t>
      </w:r>
    </w:p>
    <w:p w:rsidR="00F57E6F" w:rsidRPr="002C3C7A" w:rsidRDefault="00E729AF" w:rsidP="00991AC3">
      <w:pPr>
        <w:spacing w:before="120" w:after="120"/>
        <w:jc w:val="both"/>
        <w:rPr>
          <w:rFonts w:ascii="Times New Roman" w:hAnsi="Times New Roman" w:cs="Times New Roman"/>
          <w:sz w:val="24"/>
          <w:szCs w:val="24"/>
        </w:rPr>
      </w:pPr>
      <w:r w:rsidRPr="002C3C7A">
        <w:rPr>
          <w:rFonts w:ascii="Times New Roman" w:hAnsi="Times New Roman" w:cs="Times New Roman"/>
          <w:b/>
          <w:sz w:val="24"/>
          <w:szCs w:val="24"/>
        </w:rPr>
        <w:t>Fixing remaining vulnerabilities in the banking sector would help to support the recovery and strengthen the financing of European business.</w:t>
      </w:r>
      <w:r w:rsidRPr="002C3C7A">
        <w:rPr>
          <w:rFonts w:ascii="Times New Roman" w:hAnsi="Times New Roman" w:cs="Times New Roman"/>
          <w:sz w:val="24"/>
          <w:szCs w:val="24"/>
        </w:rPr>
        <w:t xml:space="preserve"> While the process of repairing bank balance sheets has </w:t>
      </w:r>
      <w:r w:rsidR="00CF3A7C">
        <w:rPr>
          <w:rFonts w:ascii="Times New Roman" w:hAnsi="Times New Roman" w:cs="Times New Roman"/>
          <w:sz w:val="24"/>
          <w:szCs w:val="24"/>
        </w:rPr>
        <w:t xml:space="preserve">progressed </w:t>
      </w:r>
      <w:r w:rsidR="00C20E1B">
        <w:rPr>
          <w:rFonts w:ascii="Times New Roman" w:hAnsi="Times New Roman" w:cs="Times New Roman"/>
          <w:sz w:val="24"/>
          <w:szCs w:val="24"/>
        </w:rPr>
        <w:t xml:space="preserve">in Member States </w:t>
      </w:r>
      <w:r w:rsidRPr="002C3C7A">
        <w:rPr>
          <w:rFonts w:ascii="Times New Roman" w:hAnsi="Times New Roman" w:cs="Times New Roman"/>
          <w:sz w:val="24"/>
          <w:szCs w:val="24"/>
        </w:rPr>
        <w:t xml:space="preserve">over recent years, high levels of non-performing loans, inefficiencies in business models and overcapacity </w:t>
      </w:r>
      <w:r w:rsidR="006177E1">
        <w:rPr>
          <w:rFonts w:ascii="Times New Roman" w:hAnsi="Times New Roman" w:cs="Times New Roman"/>
          <w:sz w:val="24"/>
          <w:szCs w:val="24"/>
        </w:rPr>
        <w:t>weigh</w:t>
      </w:r>
      <w:r w:rsidRPr="002C3C7A">
        <w:rPr>
          <w:rFonts w:ascii="Times New Roman" w:hAnsi="Times New Roman" w:cs="Times New Roman"/>
          <w:sz w:val="24"/>
          <w:szCs w:val="24"/>
        </w:rPr>
        <w:t xml:space="preserve"> on banks</w:t>
      </w:r>
      <w:r w:rsidR="006177E1">
        <w:rPr>
          <w:rFonts w:ascii="Times New Roman" w:hAnsi="Times New Roman" w:cs="Times New Roman"/>
          <w:sz w:val="24"/>
          <w:szCs w:val="24"/>
        </w:rPr>
        <w:t>'</w:t>
      </w:r>
      <w:r w:rsidRPr="002C3C7A">
        <w:rPr>
          <w:rFonts w:ascii="Times New Roman" w:hAnsi="Times New Roman" w:cs="Times New Roman"/>
          <w:sz w:val="24"/>
          <w:szCs w:val="24"/>
        </w:rPr>
        <w:t xml:space="preserve"> profitability and </w:t>
      </w:r>
      <w:r w:rsidR="00CF3A7C">
        <w:rPr>
          <w:rFonts w:ascii="Times New Roman" w:hAnsi="Times New Roman" w:cs="Times New Roman"/>
          <w:sz w:val="24"/>
          <w:szCs w:val="24"/>
        </w:rPr>
        <w:t xml:space="preserve">limit </w:t>
      </w:r>
      <w:r w:rsidR="006177E1">
        <w:rPr>
          <w:rFonts w:ascii="Times New Roman" w:hAnsi="Times New Roman" w:cs="Times New Roman"/>
          <w:sz w:val="24"/>
          <w:szCs w:val="24"/>
        </w:rPr>
        <w:t xml:space="preserve">their </w:t>
      </w:r>
      <w:r w:rsidRPr="002C3C7A">
        <w:rPr>
          <w:rFonts w:ascii="Times New Roman" w:hAnsi="Times New Roman" w:cs="Times New Roman"/>
          <w:sz w:val="24"/>
          <w:szCs w:val="24"/>
        </w:rPr>
        <w:t>ability to provide lending to the real economy.</w:t>
      </w:r>
      <w:r w:rsidR="00F57E6F">
        <w:rPr>
          <w:rFonts w:ascii="Times New Roman" w:hAnsi="Times New Roman" w:cs="Times New Roman"/>
          <w:sz w:val="24"/>
          <w:szCs w:val="24"/>
        </w:rPr>
        <w:t xml:space="preserve"> </w:t>
      </w:r>
      <w:r w:rsidR="00C20E1B">
        <w:rPr>
          <w:rFonts w:ascii="Times New Roman" w:hAnsi="Times New Roman" w:cs="Times New Roman"/>
          <w:sz w:val="24"/>
          <w:szCs w:val="24"/>
        </w:rPr>
        <w:t>T</w:t>
      </w:r>
      <w:r w:rsidR="00F57E6F" w:rsidRPr="00F57E6F">
        <w:rPr>
          <w:rFonts w:ascii="Times New Roman" w:hAnsi="Times New Roman" w:cs="Times New Roman"/>
          <w:sz w:val="24"/>
          <w:szCs w:val="24"/>
        </w:rPr>
        <w:t xml:space="preserve">he Commission </w:t>
      </w:r>
      <w:r w:rsidR="006177E1">
        <w:rPr>
          <w:rFonts w:ascii="Times New Roman" w:hAnsi="Times New Roman" w:cs="Times New Roman"/>
          <w:sz w:val="24"/>
          <w:szCs w:val="24"/>
        </w:rPr>
        <w:t xml:space="preserve">has </w:t>
      </w:r>
      <w:r w:rsidR="00F57E6F" w:rsidRPr="00F57E6F">
        <w:rPr>
          <w:rFonts w:ascii="Times New Roman" w:hAnsi="Times New Roman" w:cs="Times New Roman"/>
          <w:sz w:val="24"/>
          <w:szCs w:val="24"/>
        </w:rPr>
        <w:t xml:space="preserve">presented a comprehensive legislative package to reduce risks </w:t>
      </w:r>
      <w:r w:rsidR="006177E1" w:rsidRPr="00F57E6F">
        <w:rPr>
          <w:rFonts w:ascii="Times New Roman" w:hAnsi="Times New Roman" w:cs="Times New Roman"/>
          <w:sz w:val="24"/>
          <w:szCs w:val="24"/>
        </w:rPr>
        <w:t xml:space="preserve">further </w:t>
      </w:r>
      <w:r w:rsidR="00F57E6F" w:rsidRPr="00F57E6F">
        <w:rPr>
          <w:rFonts w:ascii="Times New Roman" w:hAnsi="Times New Roman" w:cs="Times New Roman"/>
          <w:sz w:val="24"/>
          <w:szCs w:val="24"/>
        </w:rPr>
        <w:t xml:space="preserve">and strengthen the resilience of </w:t>
      </w:r>
      <w:r w:rsidR="006177E1">
        <w:rPr>
          <w:rFonts w:ascii="Times New Roman" w:hAnsi="Times New Roman" w:cs="Times New Roman"/>
          <w:sz w:val="24"/>
          <w:szCs w:val="24"/>
        </w:rPr>
        <w:t xml:space="preserve">the </w:t>
      </w:r>
      <w:r w:rsidR="00F57E6F" w:rsidRPr="00F57E6F">
        <w:rPr>
          <w:rFonts w:ascii="Times New Roman" w:hAnsi="Times New Roman" w:cs="Times New Roman"/>
          <w:sz w:val="24"/>
          <w:szCs w:val="24"/>
        </w:rPr>
        <w:t>EU banking sector in particular</w:t>
      </w:r>
      <w:r w:rsidR="00F57E6F">
        <w:rPr>
          <w:rFonts w:ascii="Times New Roman" w:hAnsi="Times New Roman" w:cs="Times New Roman"/>
          <w:sz w:val="24"/>
          <w:szCs w:val="24"/>
        </w:rPr>
        <w:t>.</w:t>
      </w:r>
      <w:r w:rsidR="00F57E6F" w:rsidRPr="00F57E6F">
        <w:t xml:space="preserve"> </w:t>
      </w:r>
      <w:r w:rsidR="006D0CFC" w:rsidRPr="006D0CFC">
        <w:rPr>
          <w:rFonts w:ascii="Times New Roman" w:hAnsi="Times New Roman" w:cs="Times New Roman"/>
          <w:sz w:val="24"/>
          <w:szCs w:val="24"/>
        </w:rPr>
        <w:t xml:space="preserve">The Commission will also present </w:t>
      </w:r>
      <w:r w:rsidR="006177E1">
        <w:rPr>
          <w:rFonts w:ascii="Times New Roman" w:hAnsi="Times New Roman" w:cs="Times New Roman"/>
          <w:sz w:val="24"/>
          <w:szCs w:val="24"/>
        </w:rPr>
        <w:t xml:space="preserve">a </w:t>
      </w:r>
      <w:r w:rsidR="006D0CFC" w:rsidRPr="006D0CFC">
        <w:rPr>
          <w:rFonts w:ascii="Times New Roman" w:hAnsi="Times New Roman" w:cs="Times New Roman"/>
          <w:sz w:val="24"/>
          <w:szCs w:val="24"/>
        </w:rPr>
        <w:t>mid-term review of the Capital Markets Union action plan in June 2017</w:t>
      </w:r>
      <w:r w:rsidR="00F57E6F" w:rsidRPr="00F57E6F">
        <w:rPr>
          <w:rFonts w:ascii="Times New Roman" w:hAnsi="Times New Roman" w:cs="Times New Roman"/>
          <w:sz w:val="24"/>
          <w:szCs w:val="24"/>
        </w:rPr>
        <w:t>.</w:t>
      </w:r>
    </w:p>
    <w:p w:rsidR="00E729AF" w:rsidRPr="002C3C7A" w:rsidRDefault="00E729AF" w:rsidP="00991AC3">
      <w:pPr>
        <w:spacing w:before="120" w:after="120"/>
        <w:jc w:val="both"/>
        <w:rPr>
          <w:rFonts w:ascii="Times New Roman" w:hAnsi="Times New Roman" w:cs="Times New Roman"/>
          <w:sz w:val="24"/>
          <w:szCs w:val="24"/>
        </w:rPr>
      </w:pPr>
      <w:r w:rsidRPr="002C3C7A">
        <w:rPr>
          <w:rFonts w:ascii="Times New Roman" w:hAnsi="Times New Roman" w:cs="Times New Roman"/>
          <w:b/>
          <w:sz w:val="24"/>
          <w:szCs w:val="24"/>
        </w:rPr>
        <w:t xml:space="preserve">High levels of non-performing loans are a legacy of the </w:t>
      </w:r>
      <w:r w:rsidR="00664B52">
        <w:rPr>
          <w:rFonts w:ascii="Times New Roman" w:hAnsi="Times New Roman" w:cs="Times New Roman"/>
          <w:b/>
          <w:sz w:val="24"/>
          <w:szCs w:val="24"/>
        </w:rPr>
        <w:t xml:space="preserve">overlending before the </w:t>
      </w:r>
      <w:r w:rsidRPr="002C3C7A">
        <w:rPr>
          <w:rFonts w:ascii="Times New Roman" w:hAnsi="Times New Roman" w:cs="Times New Roman"/>
          <w:b/>
          <w:sz w:val="24"/>
          <w:szCs w:val="24"/>
        </w:rPr>
        <w:t>crisis and a result of the protracted period of sluggish growth</w:t>
      </w:r>
      <w:r w:rsidR="00C43629">
        <w:rPr>
          <w:rFonts w:ascii="Times New Roman" w:hAnsi="Times New Roman" w:cs="Times New Roman"/>
          <w:b/>
          <w:sz w:val="24"/>
          <w:szCs w:val="24"/>
        </w:rPr>
        <w:t xml:space="preserve"> since then</w:t>
      </w:r>
      <w:r w:rsidRPr="002C3C7A">
        <w:rPr>
          <w:rFonts w:ascii="Times New Roman" w:hAnsi="Times New Roman" w:cs="Times New Roman"/>
          <w:b/>
          <w:sz w:val="24"/>
          <w:szCs w:val="24"/>
        </w:rPr>
        <w:t xml:space="preserve">. </w:t>
      </w:r>
      <w:r w:rsidRPr="002C3C7A">
        <w:rPr>
          <w:rFonts w:ascii="Times New Roman" w:hAnsi="Times New Roman" w:cs="Times New Roman"/>
          <w:sz w:val="24"/>
          <w:szCs w:val="24"/>
        </w:rPr>
        <w:t xml:space="preserve">The pick-up in economic growth and domestic policy actions have </w:t>
      </w:r>
      <w:r w:rsidR="00913F33">
        <w:rPr>
          <w:rFonts w:ascii="Times New Roman" w:hAnsi="Times New Roman" w:cs="Times New Roman"/>
          <w:sz w:val="24"/>
          <w:szCs w:val="24"/>
        </w:rPr>
        <w:t xml:space="preserve">helped </w:t>
      </w:r>
      <w:r w:rsidRPr="002C3C7A">
        <w:rPr>
          <w:rFonts w:ascii="Times New Roman" w:hAnsi="Times New Roman" w:cs="Times New Roman"/>
          <w:sz w:val="24"/>
          <w:szCs w:val="24"/>
        </w:rPr>
        <w:t xml:space="preserve">put the level of these loans on a decreasing path in some Member States (Ireland, Croatia </w:t>
      </w:r>
      <w:r w:rsidR="00913F33">
        <w:rPr>
          <w:rFonts w:ascii="Times New Roman" w:hAnsi="Times New Roman" w:cs="Times New Roman"/>
          <w:sz w:val="24"/>
          <w:szCs w:val="24"/>
        </w:rPr>
        <w:t xml:space="preserve">and </w:t>
      </w:r>
      <w:r w:rsidRPr="002C3C7A">
        <w:rPr>
          <w:rFonts w:ascii="Times New Roman" w:hAnsi="Times New Roman" w:cs="Times New Roman"/>
          <w:sz w:val="24"/>
          <w:szCs w:val="24"/>
        </w:rPr>
        <w:t xml:space="preserve">Slovenia). However, in a number of </w:t>
      </w:r>
      <w:r w:rsidR="00913F33">
        <w:rPr>
          <w:rFonts w:ascii="Times New Roman" w:hAnsi="Times New Roman" w:cs="Times New Roman"/>
          <w:sz w:val="24"/>
          <w:szCs w:val="24"/>
        </w:rPr>
        <w:t xml:space="preserve">other </w:t>
      </w:r>
      <w:r w:rsidRPr="002C3C7A">
        <w:rPr>
          <w:rFonts w:ascii="Times New Roman" w:hAnsi="Times New Roman" w:cs="Times New Roman"/>
          <w:sz w:val="24"/>
          <w:szCs w:val="24"/>
        </w:rPr>
        <w:t xml:space="preserve">countries, the recovery itself continues to be hindered by the constrained bank lending resulting from the high level of bad loans. </w:t>
      </w:r>
      <w:r w:rsidR="00913F33">
        <w:rPr>
          <w:rFonts w:ascii="Times New Roman" w:hAnsi="Times New Roman" w:cs="Times New Roman"/>
          <w:sz w:val="24"/>
          <w:szCs w:val="24"/>
        </w:rPr>
        <w:t xml:space="preserve">Decisive </w:t>
      </w:r>
      <w:r w:rsidRPr="002C3C7A">
        <w:rPr>
          <w:rFonts w:ascii="Times New Roman" w:hAnsi="Times New Roman" w:cs="Times New Roman"/>
          <w:sz w:val="24"/>
          <w:szCs w:val="24"/>
        </w:rPr>
        <w:t xml:space="preserve">policy actions in these countries to </w:t>
      </w:r>
      <w:r w:rsidR="00913F33">
        <w:rPr>
          <w:rFonts w:ascii="Times New Roman" w:hAnsi="Times New Roman" w:cs="Times New Roman"/>
          <w:sz w:val="24"/>
          <w:szCs w:val="24"/>
        </w:rPr>
        <w:t xml:space="preserve">promote </w:t>
      </w:r>
      <w:r w:rsidR="006177E1">
        <w:rPr>
          <w:rFonts w:ascii="Times New Roman" w:hAnsi="Times New Roman" w:cs="Times New Roman"/>
          <w:sz w:val="24"/>
          <w:szCs w:val="24"/>
        </w:rPr>
        <w:t xml:space="preserve">the </w:t>
      </w:r>
      <w:r w:rsidRPr="002C3C7A">
        <w:rPr>
          <w:rFonts w:ascii="Times New Roman" w:hAnsi="Times New Roman" w:cs="Times New Roman"/>
          <w:sz w:val="24"/>
          <w:szCs w:val="24"/>
        </w:rPr>
        <w:t>resolution of these loans could help to break such vicious circles.</w:t>
      </w:r>
    </w:p>
    <w:p w:rsidR="00E729AF" w:rsidRPr="002C3C7A" w:rsidRDefault="00E729AF" w:rsidP="00991AC3">
      <w:pPr>
        <w:spacing w:before="120" w:after="120"/>
        <w:jc w:val="both"/>
        <w:rPr>
          <w:rFonts w:ascii="Times New Roman" w:hAnsi="Times New Roman" w:cs="Times New Roman"/>
          <w:sz w:val="24"/>
          <w:szCs w:val="24"/>
        </w:rPr>
      </w:pPr>
      <w:r w:rsidRPr="002C3C7A">
        <w:rPr>
          <w:rFonts w:ascii="Times New Roman" w:hAnsi="Times New Roman" w:cs="Times New Roman"/>
          <w:b/>
          <w:sz w:val="24"/>
          <w:szCs w:val="24"/>
        </w:rPr>
        <w:t xml:space="preserve">There is a need to act both on the high level of existing non-performing loans and on preventing their renewed build-up in the future. </w:t>
      </w:r>
      <w:r w:rsidRPr="002C3C7A">
        <w:rPr>
          <w:rFonts w:ascii="Times New Roman" w:hAnsi="Times New Roman" w:cs="Times New Roman"/>
          <w:sz w:val="24"/>
          <w:szCs w:val="24"/>
        </w:rPr>
        <w:t>With economic and financial systems that are highly interconnected in the EU, high ratios of non-performing loans in several Member States have broader spillover effects. Although policy tools are largely in the hands of Member States, an EU-level strategy could promote a more comprehensive approach and concerted action at</w:t>
      </w:r>
      <w:r w:rsidR="00913F33">
        <w:rPr>
          <w:rFonts w:ascii="Times New Roman" w:hAnsi="Times New Roman" w:cs="Times New Roman"/>
          <w:sz w:val="24"/>
          <w:szCs w:val="24"/>
        </w:rPr>
        <w:t xml:space="preserve"> both</w:t>
      </w:r>
      <w:r w:rsidRPr="002C3C7A">
        <w:rPr>
          <w:rFonts w:ascii="Times New Roman" w:hAnsi="Times New Roman" w:cs="Times New Roman"/>
          <w:sz w:val="24"/>
          <w:szCs w:val="24"/>
        </w:rPr>
        <w:t xml:space="preserve"> national and European level. The euro area recommendation calls for an effective </w:t>
      </w:r>
      <w:r w:rsidR="00034708">
        <w:rPr>
          <w:rFonts w:ascii="Times New Roman" w:hAnsi="Times New Roman" w:cs="Times New Roman"/>
          <w:sz w:val="24"/>
          <w:szCs w:val="24"/>
        </w:rPr>
        <w:t>area</w:t>
      </w:r>
      <w:r w:rsidRPr="002C3C7A">
        <w:rPr>
          <w:rFonts w:ascii="Times New Roman" w:hAnsi="Times New Roman" w:cs="Times New Roman"/>
          <w:sz w:val="24"/>
          <w:szCs w:val="24"/>
        </w:rPr>
        <w:t xml:space="preserve">-wide strategy to address viability risks within the banking sector. </w:t>
      </w:r>
    </w:p>
    <w:p w:rsidR="00E729AF" w:rsidRPr="002C3C7A" w:rsidRDefault="00E729AF" w:rsidP="00991AC3">
      <w:pPr>
        <w:spacing w:before="120" w:after="120"/>
        <w:jc w:val="both"/>
        <w:rPr>
          <w:rFonts w:ascii="Times New Roman" w:hAnsi="Times New Roman" w:cs="Times New Roman"/>
          <w:sz w:val="24"/>
          <w:szCs w:val="24"/>
        </w:rPr>
      </w:pPr>
      <w:r w:rsidRPr="002C3C7A">
        <w:rPr>
          <w:rFonts w:ascii="Times New Roman" w:hAnsi="Times New Roman" w:cs="Times New Roman"/>
          <w:b/>
          <w:sz w:val="24"/>
          <w:szCs w:val="24"/>
        </w:rPr>
        <w:t>Effective insolvency frameworks, notably including eff</w:t>
      </w:r>
      <w:r w:rsidR="00034708">
        <w:rPr>
          <w:rFonts w:ascii="Times New Roman" w:hAnsi="Times New Roman" w:cs="Times New Roman"/>
          <w:b/>
          <w:sz w:val="24"/>
          <w:szCs w:val="24"/>
        </w:rPr>
        <w:t xml:space="preserve">ective </w:t>
      </w:r>
      <w:r w:rsidRPr="002C3C7A">
        <w:rPr>
          <w:rFonts w:ascii="Times New Roman" w:hAnsi="Times New Roman" w:cs="Times New Roman"/>
          <w:b/>
          <w:sz w:val="24"/>
          <w:szCs w:val="24"/>
        </w:rPr>
        <w:t xml:space="preserve">out-of-court restructuring, are crucial </w:t>
      </w:r>
      <w:r w:rsidR="00034708">
        <w:rPr>
          <w:rFonts w:ascii="Times New Roman" w:hAnsi="Times New Roman" w:cs="Times New Roman"/>
          <w:b/>
          <w:sz w:val="24"/>
          <w:szCs w:val="24"/>
        </w:rPr>
        <w:t xml:space="preserve">for </w:t>
      </w:r>
      <w:r w:rsidRPr="002C3C7A">
        <w:rPr>
          <w:rFonts w:ascii="Times New Roman" w:hAnsi="Times New Roman" w:cs="Times New Roman"/>
          <w:b/>
          <w:sz w:val="24"/>
          <w:szCs w:val="24"/>
        </w:rPr>
        <w:t>support</w:t>
      </w:r>
      <w:r w:rsidR="00034708">
        <w:rPr>
          <w:rFonts w:ascii="Times New Roman" w:hAnsi="Times New Roman" w:cs="Times New Roman"/>
          <w:b/>
          <w:sz w:val="24"/>
          <w:szCs w:val="24"/>
        </w:rPr>
        <w:t>ing</w:t>
      </w:r>
      <w:r w:rsidRPr="002C3C7A">
        <w:rPr>
          <w:rFonts w:ascii="Times New Roman" w:hAnsi="Times New Roman" w:cs="Times New Roman"/>
          <w:b/>
          <w:sz w:val="24"/>
          <w:szCs w:val="24"/>
        </w:rPr>
        <w:t xml:space="preserve"> the workout of non-performing loans and increas</w:t>
      </w:r>
      <w:r w:rsidR="00034708">
        <w:rPr>
          <w:rFonts w:ascii="Times New Roman" w:hAnsi="Times New Roman" w:cs="Times New Roman"/>
          <w:b/>
          <w:sz w:val="24"/>
          <w:szCs w:val="24"/>
        </w:rPr>
        <w:t xml:space="preserve">ing </w:t>
      </w:r>
      <w:r w:rsidRPr="002C3C7A">
        <w:rPr>
          <w:rFonts w:ascii="Times New Roman" w:hAnsi="Times New Roman" w:cs="Times New Roman"/>
          <w:b/>
          <w:sz w:val="24"/>
          <w:szCs w:val="24"/>
        </w:rPr>
        <w:t>recovery rates.</w:t>
      </w:r>
      <w:r w:rsidRPr="002C3C7A">
        <w:rPr>
          <w:rFonts w:ascii="Times New Roman" w:hAnsi="Times New Roman" w:cs="Times New Roman"/>
          <w:sz w:val="24"/>
          <w:szCs w:val="24"/>
        </w:rPr>
        <w:t xml:space="preserve"> These measures include increasing transparency and disclosure, strengthening data infrastructures to ease transactions, and servicing by and sale to </w:t>
      </w:r>
      <w:r w:rsidR="00034708">
        <w:rPr>
          <w:rFonts w:ascii="Times New Roman" w:hAnsi="Times New Roman" w:cs="Times New Roman"/>
          <w:sz w:val="24"/>
          <w:szCs w:val="24"/>
        </w:rPr>
        <w:t xml:space="preserve">specialised </w:t>
      </w:r>
      <w:r w:rsidRPr="002C3C7A">
        <w:rPr>
          <w:rFonts w:ascii="Times New Roman" w:hAnsi="Times New Roman" w:cs="Times New Roman"/>
          <w:sz w:val="24"/>
          <w:szCs w:val="24"/>
        </w:rPr>
        <w:t>non-bank institutions. To deal with large existing stocks of non-performing loans, options should be considered for facilitating accelerated balance sheet repair</w:t>
      </w:r>
      <w:r w:rsidR="00034708">
        <w:rPr>
          <w:rFonts w:ascii="Times New Roman" w:hAnsi="Times New Roman" w:cs="Times New Roman"/>
          <w:sz w:val="24"/>
          <w:szCs w:val="24"/>
        </w:rPr>
        <w:t xml:space="preserve">. These should </w:t>
      </w:r>
      <w:r w:rsidRPr="002C3C7A">
        <w:rPr>
          <w:rFonts w:ascii="Times New Roman" w:hAnsi="Times New Roman" w:cs="Times New Roman"/>
          <w:sz w:val="24"/>
          <w:szCs w:val="24"/>
        </w:rPr>
        <w:t>includ</w:t>
      </w:r>
      <w:r w:rsidR="00034708">
        <w:rPr>
          <w:rFonts w:ascii="Times New Roman" w:hAnsi="Times New Roman" w:cs="Times New Roman"/>
          <w:sz w:val="24"/>
          <w:szCs w:val="24"/>
        </w:rPr>
        <w:t>e</w:t>
      </w:r>
      <w:r w:rsidRPr="002C3C7A">
        <w:rPr>
          <w:rFonts w:ascii="Times New Roman" w:hAnsi="Times New Roman" w:cs="Times New Roman"/>
          <w:sz w:val="24"/>
          <w:szCs w:val="24"/>
        </w:rPr>
        <w:t xml:space="preserve"> more proactive use of supervisory powers, as well as</w:t>
      </w:r>
      <w:r w:rsidR="00034708">
        <w:rPr>
          <w:rFonts w:ascii="Times New Roman" w:hAnsi="Times New Roman" w:cs="Times New Roman"/>
          <w:sz w:val="24"/>
          <w:szCs w:val="24"/>
        </w:rPr>
        <w:t xml:space="preserve"> making it easier to sell</w:t>
      </w:r>
      <w:r w:rsidRPr="002C3C7A">
        <w:rPr>
          <w:rFonts w:ascii="Times New Roman" w:hAnsi="Times New Roman" w:cs="Times New Roman"/>
          <w:sz w:val="24"/>
          <w:szCs w:val="24"/>
        </w:rPr>
        <w:t xml:space="preserve"> such assets. The Commission has recommended </w:t>
      </w:r>
      <w:r w:rsidR="00F57E6F">
        <w:rPr>
          <w:rFonts w:ascii="Times New Roman" w:hAnsi="Times New Roman" w:cs="Times New Roman"/>
          <w:sz w:val="24"/>
          <w:szCs w:val="24"/>
        </w:rPr>
        <w:t>taking measures</w:t>
      </w:r>
      <w:r w:rsidRPr="002C3C7A">
        <w:rPr>
          <w:rFonts w:ascii="Times New Roman" w:hAnsi="Times New Roman" w:cs="Times New Roman"/>
          <w:sz w:val="24"/>
          <w:szCs w:val="24"/>
        </w:rPr>
        <w:t xml:space="preserve"> to </w:t>
      </w:r>
      <w:r w:rsidR="00F57E6F">
        <w:rPr>
          <w:rFonts w:ascii="Times New Roman" w:hAnsi="Times New Roman" w:cs="Times New Roman"/>
          <w:sz w:val="24"/>
          <w:szCs w:val="24"/>
        </w:rPr>
        <w:t xml:space="preserve">Bulgaria, </w:t>
      </w:r>
      <w:r w:rsidRPr="002C3C7A">
        <w:rPr>
          <w:rFonts w:ascii="Times New Roman" w:hAnsi="Times New Roman" w:cs="Times New Roman"/>
          <w:sz w:val="24"/>
          <w:szCs w:val="24"/>
        </w:rPr>
        <w:t xml:space="preserve">Ireland, Italy, </w:t>
      </w:r>
      <w:r w:rsidR="00034708">
        <w:rPr>
          <w:rFonts w:ascii="Times New Roman" w:hAnsi="Times New Roman" w:cs="Times New Roman"/>
          <w:sz w:val="24"/>
          <w:szCs w:val="24"/>
        </w:rPr>
        <w:t xml:space="preserve">Cyprus, </w:t>
      </w:r>
      <w:r w:rsidRPr="002C3C7A">
        <w:rPr>
          <w:rFonts w:ascii="Times New Roman" w:hAnsi="Times New Roman" w:cs="Times New Roman"/>
          <w:sz w:val="24"/>
          <w:szCs w:val="24"/>
        </w:rPr>
        <w:t>Portugal and Slovenia</w:t>
      </w:r>
      <w:r w:rsidR="00034708">
        <w:rPr>
          <w:rFonts w:ascii="Times New Roman" w:hAnsi="Times New Roman" w:cs="Times New Roman"/>
          <w:sz w:val="24"/>
          <w:szCs w:val="24"/>
        </w:rPr>
        <w:t>.</w:t>
      </w:r>
      <w:r w:rsidRPr="002C3C7A">
        <w:rPr>
          <w:rFonts w:ascii="Times New Roman" w:hAnsi="Times New Roman" w:cs="Times New Roman"/>
          <w:sz w:val="24"/>
          <w:szCs w:val="24"/>
        </w:rPr>
        <w:t xml:space="preserve"> </w:t>
      </w:r>
    </w:p>
    <w:p w:rsidR="00E729AF" w:rsidRPr="002C3C7A" w:rsidRDefault="00E729AF" w:rsidP="00991AC3">
      <w:pPr>
        <w:keepNext/>
        <w:spacing w:before="100" w:beforeAutospacing="1" w:after="100" w:afterAutospacing="1"/>
        <w:jc w:val="both"/>
        <w:rPr>
          <w:rFonts w:ascii="Times New Roman" w:hAnsi="Times New Roman" w:cs="Times New Roman"/>
          <w:i/>
          <w:sz w:val="24"/>
          <w:szCs w:val="24"/>
        </w:rPr>
      </w:pPr>
      <w:r w:rsidRPr="002C3C7A">
        <w:rPr>
          <w:rFonts w:ascii="Times New Roman" w:hAnsi="Times New Roman" w:cs="Times New Roman"/>
          <w:i/>
          <w:sz w:val="24"/>
          <w:szCs w:val="24"/>
        </w:rPr>
        <w:lastRenderedPageBreak/>
        <w:t xml:space="preserve">Investment and business environment </w:t>
      </w:r>
    </w:p>
    <w:p w:rsidR="00E729AF" w:rsidRPr="002C3C7A" w:rsidRDefault="00E729AF" w:rsidP="00991AC3">
      <w:pPr>
        <w:spacing w:before="100" w:beforeAutospacing="1" w:after="100" w:afterAutospacing="1"/>
        <w:jc w:val="both"/>
        <w:rPr>
          <w:rFonts w:ascii="Times New Roman" w:hAnsi="Times New Roman" w:cs="Times New Roman"/>
          <w:b/>
          <w:bCs/>
          <w:color w:val="000000"/>
          <w:sz w:val="24"/>
          <w:szCs w:val="24"/>
        </w:rPr>
      </w:pPr>
      <w:r w:rsidRPr="002C3C7A">
        <w:rPr>
          <w:rFonts w:ascii="Times New Roman" w:hAnsi="Times New Roman" w:cs="Times New Roman"/>
          <w:b/>
          <w:bCs/>
          <w:color w:val="000000"/>
          <w:sz w:val="24"/>
          <w:szCs w:val="24"/>
        </w:rPr>
        <w:t xml:space="preserve">Economic stability and the implementation of reforms have contributed to the recovery </w:t>
      </w:r>
      <w:r w:rsidR="009203D3">
        <w:rPr>
          <w:rFonts w:ascii="Times New Roman" w:hAnsi="Times New Roman" w:cs="Times New Roman"/>
          <w:b/>
          <w:bCs/>
          <w:color w:val="000000"/>
          <w:sz w:val="24"/>
          <w:szCs w:val="24"/>
        </w:rPr>
        <w:t>in</w:t>
      </w:r>
      <w:r w:rsidRPr="002C3C7A">
        <w:rPr>
          <w:rFonts w:ascii="Times New Roman" w:hAnsi="Times New Roman" w:cs="Times New Roman"/>
          <w:b/>
          <w:bCs/>
          <w:color w:val="000000"/>
          <w:sz w:val="24"/>
          <w:szCs w:val="24"/>
        </w:rPr>
        <w:t xml:space="preserve"> investment</w:t>
      </w:r>
      <w:r w:rsidR="009203D3">
        <w:rPr>
          <w:rFonts w:ascii="Times New Roman" w:hAnsi="Times New Roman" w:cs="Times New Roman"/>
          <w:b/>
          <w:bCs/>
          <w:color w:val="000000"/>
          <w:sz w:val="24"/>
          <w:szCs w:val="24"/>
        </w:rPr>
        <w:t>, which</w:t>
      </w:r>
      <w:r w:rsidRPr="002C3C7A">
        <w:rPr>
          <w:rFonts w:ascii="Times New Roman" w:hAnsi="Times New Roman" w:cs="Times New Roman"/>
          <w:b/>
          <w:bCs/>
          <w:color w:val="000000"/>
          <w:sz w:val="24"/>
          <w:szCs w:val="24"/>
        </w:rPr>
        <w:t xml:space="preserve"> has exceeded pre-crisis levels in some Member States.</w:t>
      </w:r>
      <w:r w:rsidRPr="002C3C7A">
        <w:rPr>
          <w:rFonts w:ascii="Times New Roman" w:hAnsi="Times New Roman" w:cs="Times New Roman"/>
          <w:bCs/>
          <w:color w:val="000000"/>
          <w:sz w:val="24"/>
          <w:szCs w:val="24"/>
        </w:rPr>
        <w:t xml:space="preserve"> However, further efforts are needed to increase the stocks of capital equipment, intangible capital and infrastructures and </w:t>
      </w:r>
      <w:r w:rsidR="009203D3">
        <w:rPr>
          <w:rFonts w:ascii="Times New Roman" w:hAnsi="Times New Roman" w:cs="Times New Roman"/>
          <w:bCs/>
          <w:color w:val="000000"/>
          <w:sz w:val="24"/>
          <w:szCs w:val="24"/>
        </w:rPr>
        <w:t xml:space="preserve">to </w:t>
      </w:r>
      <w:r w:rsidRPr="002C3C7A">
        <w:rPr>
          <w:rFonts w:ascii="Times New Roman" w:hAnsi="Times New Roman" w:cs="Times New Roman"/>
          <w:bCs/>
          <w:color w:val="000000"/>
          <w:sz w:val="24"/>
          <w:szCs w:val="24"/>
        </w:rPr>
        <w:t>compensate for the investment gap accumulated since the outbreak of the crisis.</w:t>
      </w:r>
      <w:r w:rsidRPr="002C3C7A">
        <w:rPr>
          <w:rFonts w:ascii="Times New Roman" w:hAnsi="Times New Roman" w:cs="Times New Roman"/>
          <w:sz w:val="24"/>
          <w:szCs w:val="24"/>
        </w:rPr>
        <w:t xml:space="preserve"> </w:t>
      </w:r>
      <w:r w:rsidRPr="002C3C7A">
        <w:rPr>
          <w:rFonts w:ascii="Times New Roman" w:hAnsi="Times New Roman" w:cs="Times New Roman"/>
          <w:bCs/>
          <w:color w:val="000000"/>
          <w:sz w:val="24"/>
          <w:szCs w:val="24"/>
        </w:rPr>
        <w:t>The Commission</w:t>
      </w:r>
      <w:r w:rsidR="009203D3">
        <w:rPr>
          <w:rFonts w:ascii="Times New Roman" w:hAnsi="Times New Roman" w:cs="Times New Roman"/>
          <w:bCs/>
          <w:color w:val="000000"/>
          <w:sz w:val="24"/>
          <w:szCs w:val="24"/>
        </w:rPr>
        <w:t xml:space="preserve">’s </w:t>
      </w:r>
      <w:r w:rsidR="009203D3" w:rsidRPr="002C3C7A">
        <w:rPr>
          <w:rFonts w:ascii="Times New Roman" w:hAnsi="Times New Roman" w:cs="Times New Roman"/>
          <w:bCs/>
          <w:color w:val="000000"/>
          <w:sz w:val="24"/>
          <w:szCs w:val="24"/>
        </w:rPr>
        <w:t>assessment</w:t>
      </w:r>
      <w:r w:rsidRPr="002C3C7A">
        <w:rPr>
          <w:rFonts w:ascii="Times New Roman" w:hAnsi="Times New Roman" w:cs="Times New Roman"/>
          <w:bCs/>
          <w:color w:val="000000"/>
          <w:sz w:val="24"/>
          <w:szCs w:val="24"/>
        </w:rPr>
        <w:t xml:space="preserve"> of </w:t>
      </w:r>
      <w:r w:rsidR="009203D3">
        <w:rPr>
          <w:rFonts w:ascii="Times New Roman" w:hAnsi="Times New Roman" w:cs="Times New Roman"/>
          <w:bCs/>
          <w:color w:val="000000"/>
          <w:sz w:val="24"/>
          <w:szCs w:val="24"/>
        </w:rPr>
        <w:t xml:space="preserve">the </w:t>
      </w:r>
      <w:r w:rsidRPr="002C3C7A">
        <w:rPr>
          <w:rFonts w:ascii="Times New Roman" w:hAnsi="Times New Roman" w:cs="Times New Roman"/>
          <w:bCs/>
          <w:color w:val="000000"/>
          <w:sz w:val="24"/>
          <w:szCs w:val="24"/>
        </w:rPr>
        <w:t xml:space="preserve">progress made in addressing national barriers to investment and the priority reforms underway confirms that a significant proportion of country-specific recommendations in these areas are not fully implemented. Member States should take advantage of the favourable </w:t>
      </w:r>
      <w:r w:rsidR="009203D3">
        <w:rPr>
          <w:rFonts w:ascii="Times New Roman" w:hAnsi="Times New Roman" w:cs="Times New Roman"/>
          <w:bCs/>
          <w:color w:val="000000"/>
          <w:sz w:val="24"/>
          <w:szCs w:val="24"/>
        </w:rPr>
        <w:t xml:space="preserve">prevailing </w:t>
      </w:r>
      <w:r w:rsidRPr="002C3C7A">
        <w:rPr>
          <w:rFonts w:ascii="Times New Roman" w:hAnsi="Times New Roman" w:cs="Times New Roman"/>
          <w:bCs/>
          <w:color w:val="000000"/>
          <w:sz w:val="24"/>
          <w:szCs w:val="24"/>
        </w:rPr>
        <w:t xml:space="preserve">macroeconomic conditions </w:t>
      </w:r>
      <w:r w:rsidR="009203D3">
        <w:rPr>
          <w:rFonts w:ascii="Times New Roman" w:hAnsi="Times New Roman" w:cs="Times New Roman"/>
          <w:bCs/>
          <w:color w:val="000000"/>
          <w:sz w:val="24"/>
          <w:szCs w:val="24"/>
        </w:rPr>
        <w:t>to step</w:t>
      </w:r>
      <w:r w:rsidR="006177E1">
        <w:rPr>
          <w:rFonts w:ascii="Times New Roman" w:hAnsi="Times New Roman" w:cs="Times New Roman"/>
          <w:bCs/>
          <w:color w:val="000000"/>
          <w:sz w:val="24"/>
          <w:szCs w:val="24"/>
        </w:rPr>
        <w:t xml:space="preserve"> </w:t>
      </w:r>
      <w:r w:rsidRPr="002C3C7A">
        <w:rPr>
          <w:rFonts w:ascii="Times New Roman" w:hAnsi="Times New Roman" w:cs="Times New Roman"/>
          <w:bCs/>
          <w:color w:val="000000"/>
          <w:sz w:val="24"/>
          <w:szCs w:val="24"/>
        </w:rPr>
        <w:t xml:space="preserve">up </w:t>
      </w:r>
      <w:r w:rsidR="009203D3">
        <w:rPr>
          <w:rFonts w:ascii="Times New Roman" w:hAnsi="Times New Roman" w:cs="Times New Roman"/>
          <w:bCs/>
          <w:color w:val="000000"/>
          <w:sz w:val="24"/>
          <w:szCs w:val="24"/>
        </w:rPr>
        <w:t xml:space="preserve">public </w:t>
      </w:r>
      <w:r w:rsidRPr="002C3C7A">
        <w:rPr>
          <w:rFonts w:ascii="Times New Roman" w:hAnsi="Times New Roman" w:cs="Times New Roman"/>
          <w:bCs/>
          <w:color w:val="000000"/>
          <w:sz w:val="24"/>
          <w:szCs w:val="24"/>
        </w:rPr>
        <w:t xml:space="preserve">investment </w:t>
      </w:r>
      <w:r w:rsidR="009203D3">
        <w:rPr>
          <w:rFonts w:ascii="Times New Roman" w:hAnsi="Times New Roman" w:cs="Times New Roman"/>
          <w:bCs/>
          <w:color w:val="000000"/>
          <w:sz w:val="24"/>
          <w:szCs w:val="24"/>
        </w:rPr>
        <w:t xml:space="preserve">in order </w:t>
      </w:r>
      <w:r w:rsidRPr="002C3C7A">
        <w:rPr>
          <w:rFonts w:ascii="Times New Roman" w:hAnsi="Times New Roman" w:cs="Times New Roman"/>
          <w:bCs/>
          <w:color w:val="000000"/>
          <w:sz w:val="24"/>
          <w:szCs w:val="24"/>
        </w:rPr>
        <w:t xml:space="preserve">to accelerate the pace of reforms </w:t>
      </w:r>
      <w:r w:rsidR="009203D3">
        <w:rPr>
          <w:rFonts w:ascii="Times New Roman" w:hAnsi="Times New Roman" w:cs="Times New Roman"/>
          <w:bCs/>
          <w:color w:val="000000"/>
          <w:sz w:val="24"/>
          <w:szCs w:val="24"/>
        </w:rPr>
        <w:t xml:space="preserve">and </w:t>
      </w:r>
      <w:r w:rsidRPr="002C3C7A">
        <w:rPr>
          <w:rFonts w:ascii="Times New Roman" w:hAnsi="Times New Roman" w:cs="Times New Roman"/>
          <w:bCs/>
          <w:color w:val="000000"/>
          <w:sz w:val="24"/>
          <w:szCs w:val="24"/>
        </w:rPr>
        <w:t>create opportunities for private investment. At the same time, Member States, in particular those with fiscal space, should sustain the upward trend in public investment.</w:t>
      </w:r>
    </w:p>
    <w:p w:rsidR="00E729AF" w:rsidRPr="002C3C7A" w:rsidRDefault="00E729AF" w:rsidP="00991AC3">
      <w:pPr>
        <w:spacing w:before="100" w:beforeAutospacing="1" w:after="100" w:afterAutospacing="1"/>
        <w:jc w:val="both"/>
        <w:rPr>
          <w:rFonts w:ascii="Times New Roman" w:hAnsi="Times New Roman" w:cs="Times New Roman"/>
          <w:bCs/>
          <w:color w:val="000000"/>
          <w:sz w:val="24"/>
          <w:szCs w:val="24"/>
        </w:rPr>
      </w:pPr>
      <w:r w:rsidRPr="002C3C7A">
        <w:rPr>
          <w:rFonts w:ascii="Times New Roman" w:hAnsi="Times New Roman" w:cs="Times New Roman"/>
          <w:b/>
          <w:bCs/>
          <w:color w:val="000000"/>
          <w:sz w:val="24"/>
          <w:szCs w:val="24"/>
        </w:rPr>
        <w:t xml:space="preserve">The rate of public investments in education, infrastructure and research and innovation should grow in those countries where there is </w:t>
      </w:r>
      <w:r w:rsidR="00665B03">
        <w:rPr>
          <w:rFonts w:ascii="Times New Roman" w:hAnsi="Times New Roman" w:cs="Times New Roman"/>
          <w:b/>
          <w:bCs/>
          <w:color w:val="000000"/>
          <w:sz w:val="24"/>
          <w:szCs w:val="24"/>
        </w:rPr>
        <w:t>room</w:t>
      </w:r>
      <w:r w:rsidR="00665B03" w:rsidRPr="002C3C7A">
        <w:rPr>
          <w:rFonts w:ascii="Times New Roman" w:hAnsi="Times New Roman" w:cs="Times New Roman"/>
          <w:b/>
          <w:bCs/>
          <w:color w:val="000000"/>
          <w:sz w:val="24"/>
          <w:szCs w:val="24"/>
        </w:rPr>
        <w:t xml:space="preserve"> </w:t>
      </w:r>
      <w:r w:rsidRPr="002C3C7A">
        <w:rPr>
          <w:rFonts w:ascii="Times New Roman" w:hAnsi="Times New Roman" w:cs="Times New Roman"/>
          <w:b/>
          <w:bCs/>
          <w:color w:val="000000"/>
          <w:sz w:val="24"/>
          <w:szCs w:val="24"/>
        </w:rPr>
        <w:t>to increase public expenditure.</w:t>
      </w:r>
      <w:r w:rsidRPr="002C3C7A">
        <w:rPr>
          <w:rFonts w:ascii="Times New Roman" w:hAnsi="Times New Roman" w:cs="Times New Roman"/>
          <w:bCs/>
          <w:color w:val="000000"/>
          <w:sz w:val="24"/>
          <w:szCs w:val="24"/>
        </w:rPr>
        <w:t xml:space="preserve"> Improved public infrastructure with an impact on productivity, such as broadband networks, communications or innovation</w:t>
      </w:r>
      <w:r w:rsidR="006177E1">
        <w:rPr>
          <w:rFonts w:ascii="Times New Roman" w:hAnsi="Times New Roman" w:cs="Times New Roman"/>
          <w:bCs/>
          <w:color w:val="000000"/>
          <w:sz w:val="24"/>
          <w:szCs w:val="24"/>
        </w:rPr>
        <w:t>,</w:t>
      </w:r>
      <w:r w:rsidRPr="002C3C7A">
        <w:rPr>
          <w:rFonts w:ascii="Times New Roman" w:hAnsi="Times New Roman" w:cs="Times New Roman"/>
          <w:bCs/>
          <w:color w:val="000000"/>
          <w:sz w:val="24"/>
          <w:szCs w:val="24"/>
        </w:rPr>
        <w:t xml:space="preserve"> are needed in a number of Member States</w:t>
      </w:r>
      <w:r w:rsidR="00665B03">
        <w:rPr>
          <w:rFonts w:ascii="Times New Roman" w:hAnsi="Times New Roman" w:cs="Times New Roman"/>
          <w:bCs/>
          <w:color w:val="000000"/>
          <w:sz w:val="24"/>
          <w:szCs w:val="24"/>
        </w:rPr>
        <w:t>.</w:t>
      </w:r>
      <w:r w:rsidRPr="002C3C7A">
        <w:rPr>
          <w:rFonts w:ascii="Times New Roman" w:hAnsi="Times New Roman" w:cs="Times New Roman"/>
          <w:bCs/>
          <w:color w:val="000000"/>
          <w:sz w:val="24"/>
          <w:szCs w:val="24"/>
        </w:rPr>
        <w:t xml:space="preserve"> </w:t>
      </w:r>
      <w:r w:rsidR="00665B03">
        <w:rPr>
          <w:rFonts w:ascii="Times New Roman" w:hAnsi="Times New Roman" w:cs="Times New Roman"/>
          <w:bCs/>
          <w:color w:val="000000"/>
          <w:sz w:val="24"/>
          <w:szCs w:val="24"/>
        </w:rPr>
        <w:t>I</w:t>
      </w:r>
      <w:r w:rsidRPr="002C3C7A">
        <w:rPr>
          <w:rFonts w:ascii="Times New Roman" w:hAnsi="Times New Roman" w:cs="Times New Roman"/>
          <w:bCs/>
          <w:color w:val="000000"/>
          <w:sz w:val="24"/>
          <w:szCs w:val="24"/>
        </w:rPr>
        <w:t xml:space="preserve">nvestment in public housing, </w:t>
      </w:r>
      <w:r w:rsidR="006B469E">
        <w:rPr>
          <w:rFonts w:ascii="Times New Roman" w:hAnsi="Times New Roman" w:cs="Times New Roman"/>
          <w:bCs/>
          <w:color w:val="000000"/>
          <w:sz w:val="24"/>
          <w:szCs w:val="24"/>
        </w:rPr>
        <w:t xml:space="preserve">education, </w:t>
      </w:r>
      <w:r w:rsidRPr="002C3C7A">
        <w:rPr>
          <w:rFonts w:ascii="Times New Roman" w:hAnsi="Times New Roman" w:cs="Times New Roman"/>
          <w:bCs/>
          <w:color w:val="000000"/>
          <w:sz w:val="24"/>
          <w:szCs w:val="24"/>
        </w:rPr>
        <w:t xml:space="preserve">health and social services </w:t>
      </w:r>
      <w:r w:rsidR="006177E1">
        <w:rPr>
          <w:rFonts w:ascii="Times New Roman" w:hAnsi="Times New Roman" w:cs="Times New Roman"/>
          <w:bCs/>
          <w:color w:val="000000"/>
          <w:sz w:val="24"/>
          <w:szCs w:val="24"/>
        </w:rPr>
        <w:t>is</w:t>
      </w:r>
      <w:r w:rsidR="006177E1" w:rsidRPr="002C3C7A">
        <w:rPr>
          <w:rFonts w:ascii="Times New Roman" w:hAnsi="Times New Roman" w:cs="Times New Roman"/>
          <w:bCs/>
          <w:color w:val="000000"/>
          <w:sz w:val="24"/>
          <w:szCs w:val="24"/>
        </w:rPr>
        <w:t xml:space="preserve"> </w:t>
      </w:r>
      <w:r w:rsidR="00CA4133">
        <w:rPr>
          <w:rFonts w:ascii="Times New Roman" w:hAnsi="Times New Roman" w:cs="Times New Roman"/>
          <w:bCs/>
          <w:color w:val="000000"/>
          <w:sz w:val="24"/>
          <w:szCs w:val="24"/>
        </w:rPr>
        <w:t>needed</w:t>
      </w:r>
      <w:r w:rsidRPr="002C3C7A">
        <w:rPr>
          <w:rFonts w:ascii="Times New Roman" w:hAnsi="Times New Roman" w:cs="Times New Roman"/>
          <w:bCs/>
          <w:color w:val="000000"/>
          <w:sz w:val="24"/>
          <w:szCs w:val="24"/>
        </w:rPr>
        <w:t xml:space="preserve"> in many others. In all cases, </w:t>
      </w:r>
      <w:r w:rsidR="00665B03">
        <w:rPr>
          <w:rFonts w:ascii="Times New Roman" w:hAnsi="Times New Roman" w:cs="Times New Roman"/>
          <w:bCs/>
          <w:color w:val="000000"/>
          <w:sz w:val="24"/>
          <w:szCs w:val="24"/>
        </w:rPr>
        <w:t xml:space="preserve">applying </w:t>
      </w:r>
      <w:r w:rsidRPr="002C3C7A">
        <w:rPr>
          <w:rFonts w:ascii="Times New Roman" w:hAnsi="Times New Roman" w:cs="Times New Roman"/>
          <w:bCs/>
          <w:color w:val="000000"/>
          <w:sz w:val="24"/>
          <w:szCs w:val="24"/>
        </w:rPr>
        <w:t xml:space="preserve">procurement procedures </w:t>
      </w:r>
      <w:r w:rsidR="00665B03">
        <w:rPr>
          <w:rFonts w:ascii="Times New Roman" w:hAnsi="Times New Roman" w:cs="Times New Roman"/>
          <w:bCs/>
          <w:color w:val="000000"/>
          <w:sz w:val="24"/>
          <w:szCs w:val="24"/>
        </w:rPr>
        <w:t xml:space="preserve">transparently and appropriately </w:t>
      </w:r>
      <w:r w:rsidRPr="002C3C7A">
        <w:rPr>
          <w:rFonts w:ascii="Times New Roman" w:hAnsi="Times New Roman" w:cs="Times New Roman"/>
          <w:bCs/>
          <w:color w:val="000000"/>
          <w:sz w:val="24"/>
          <w:szCs w:val="24"/>
        </w:rPr>
        <w:t xml:space="preserve">should </w:t>
      </w:r>
      <w:r w:rsidR="00665B03">
        <w:rPr>
          <w:rFonts w:ascii="Times New Roman" w:hAnsi="Times New Roman" w:cs="Times New Roman"/>
          <w:bCs/>
          <w:color w:val="000000"/>
          <w:sz w:val="24"/>
          <w:szCs w:val="24"/>
        </w:rPr>
        <w:t xml:space="preserve">help </w:t>
      </w:r>
      <w:r w:rsidRPr="002C3C7A">
        <w:rPr>
          <w:rFonts w:ascii="Times New Roman" w:hAnsi="Times New Roman" w:cs="Times New Roman"/>
          <w:bCs/>
          <w:color w:val="000000"/>
          <w:sz w:val="24"/>
          <w:szCs w:val="24"/>
        </w:rPr>
        <w:t>to maximise efficiency in the use of public sector budget resources.</w:t>
      </w:r>
    </w:p>
    <w:p w:rsidR="00E729AF" w:rsidRDefault="00E729AF" w:rsidP="00991AC3">
      <w:pPr>
        <w:spacing w:before="100" w:beforeAutospacing="1" w:after="100" w:afterAutospacing="1"/>
        <w:jc w:val="both"/>
        <w:rPr>
          <w:rFonts w:ascii="Times New Roman" w:hAnsi="Times New Roman" w:cs="Times New Roman"/>
          <w:bCs/>
          <w:color w:val="000000"/>
          <w:sz w:val="24"/>
          <w:szCs w:val="24"/>
        </w:rPr>
      </w:pPr>
      <w:r w:rsidRPr="002C3C7A">
        <w:rPr>
          <w:rFonts w:ascii="Times New Roman" w:hAnsi="Times New Roman" w:cs="Times New Roman"/>
          <w:b/>
          <w:bCs/>
          <w:color w:val="000000"/>
          <w:sz w:val="24"/>
          <w:szCs w:val="24"/>
        </w:rPr>
        <w:t xml:space="preserve">However, the speed and strength of the recovery hinges on a more determined upturn </w:t>
      </w:r>
      <w:r w:rsidR="000D0A38">
        <w:rPr>
          <w:rFonts w:ascii="Times New Roman" w:hAnsi="Times New Roman" w:cs="Times New Roman"/>
          <w:b/>
          <w:bCs/>
          <w:color w:val="000000"/>
          <w:sz w:val="24"/>
          <w:szCs w:val="24"/>
        </w:rPr>
        <w:t xml:space="preserve">in </w:t>
      </w:r>
      <w:r w:rsidRPr="002C3C7A">
        <w:rPr>
          <w:rFonts w:ascii="Times New Roman" w:hAnsi="Times New Roman" w:cs="Times New Roman"/>
          <w:b/>
          <w:bCs/>
          <w:color w:val="000000"/>
          <w:sz w:val="24"/>
          <w:szCs w:val="24"/>
        </w:rPr>
        <w:t>private investment.</w:t>
      </w:r>
      <w:r w:rsidRPr="002C3C7A">
        <w:rPr>
          <w:rFonts w:ascii="Times New Roman" w:hAnsi="Times New Roman" w:cs="Times New Roman"/>
          <w:bCs/>
          <w:color w:val="000000"/>
          <w:sz w:val="24"/>
          <w:szCs w:val="24"/>
        </w:rPr>
        <w:t xml:space="preserve"> The implementation of the Investment Plan for Europe is </w:t>
      </w:r>
      <w:r w:rsidR="000D0A38">
        <w:rPr>
          <w:rFonts w:ascii="Times New Roman" w:hAnsi="Times New Roman" w:cs="Times New Roman"/>
          <w:bCs/>
          <w:color w:val="000000"/>
          <w:sz w:val="24"/>
          <w:szCs w:val="24"/>
        </w:rPr>
        <w:t xml:space="preserve">helping to </w:t>
      </w:r>
      <w:r w:rsidR="000D0A38" w:rsidRPr="001D759E">
        <w:rPr>
          <w:rFonts w:ascii="Times New Roman" w:hAnsi="Times New Roman" w:cs="Times New Roman"/>
          <w:bCs/>
          <w:color w:val="000000"/>
          <w:sz w:val="24"/>
          <w:szCs w:val="24"/>
        </w:rPr>
        <w:t>ensur</w:t>
      </w:r>
      <w:r w:rsidR="000D0A38">
        <w:rPr>
          <w:rFonts w:ascii="Times New Roman" w:hAnsi="Times New Roman" w:cs="Times New Roman"/>
          <w:bCs/>
          <w:color w:val="000000"/>
          <w:sz w:val="24"/>
          <w:szCs w:val="24"/>
        </w:rPr>
        <w:t>e</w:t>
      </w:r>
      <w:r w:rsidR="000D0A38" w:rsidRPr="001D759E">
        <w:rPr>
          <w:rFonts w:ascii="Times New Roman" w:hAnsi="Times New Roman" w:cs="Times New Roman"/>
          <w:bCs/>
          <w:color w:val="000000"/>
          <w:sz w:val="24"/>
          <w:szCs w:val="24"/>
        </w:rPr>
        <w:t xml:space="preserve"> optimal use of public investment</w:t>
      </w:r>
      <w:r w:rsidR="000D0A38">
        <w:rPr>
          <w:rFonts w:ascii="Times New Roman" w:hAnsi="Times New Roman" w:cs="Times New Roman"/>
          <w:bCs/>
          <w:color w:val="000000"/>
          <w:sz w:val="24"/>
          <w:szCs w:val="24"/>
        </w:rPr>
        <w:t xml:space="preserve"> and</w:t>
      </w:r>
      <w:r w:rsidR="000D0A38" w:rsidRPr="001D759E">
        <w:rPr>
          <w:rFonts w:ascii="Times New Roman" w:hAnsi="Times New Roman" w:cs="Times New Roman"/>
          <w:bCs/>
          <w:color w:val="000000"/>
          <w:sz w:val="24"/>
          <w:szCs w:val="24"/>
        </w:rPr>
        <w:t xml:space="preserve"> </w:t>
      </w:r>
      <w:r w:rsidR="006177E1">
        <w:rPr>
          <w:rFonts w:ascii="Times New Roman" w:hAnsi="Times New Roman" w:cs="Times New Roman"/>
          <w:bCs/>
          <w:color w:val="000000"/>
          <w:sz w:val="24"/>
          <w:szCs w:val="24"/>
        </w:rPr>
        <w:t xml:space="preserve">is </w:t>
      </w:r>
      <w:r w:rsidRPr="002C3C7A">
        <w:rPr>
          <w:rFonts w:ascii="Times New Roman" w:hAnsi="Times New Roman" w:cs="Times New Roman"/>
          <w:bCs/>
          <w:color w:val="000000"/>
          <w:sz w:val="24"/>
          <w:szCs w:val="24"/>
        </w:rPr>
        <w:t xml:space="preserve">acting as a catalyst of private investment. </w:t>
      </w:r>
      <w:r w:rsidR="00C43629">
        <w:rPr>
          <w:rFonts w:ascii="Times New Roman" w:hAnsi="Times New Roman" w:cs="Times New Roman"/>
          <w:bCs/>
          <w:color w:val="000000"/>
          <w:sz w:val="24"/>
          <w:szCs w:val="24"/>
        </w:rPr>
        <w:t xml:space="preserve">This reinforces the impact of the European Structural and Investment Funds in many parts of Europe. </w:t>
      </w:r>
      <w:r w:rsidRPr="002C3C7A">
        <w:rPr>
          <w:rFonts w:ascii="Times New Roman" w:hAnsi="Times New Roman" w:cs="Times New Roman"/>
          <w:bCs/>
          <w:color w:val="000000"/>
          <w:sz w:val="24"/>
          <w:szCs w:val="24"/>
        </w:rPr>
        <w:t xml:space="preserve">Structural reforms are </w:t>
      </w:r>
      <w:r w:rsidR="000D0A38">
        <w:rPr>
          <w:rFonts w:ascii="Times New Roman" w:hAnsi="Times New Roman" w:cs="Times New Roman"/>
          <w:bCs/>
          <w:color w:val="000000"/>
          <w:sz w:val="24"/>
          <w:szCs w:val="24"/>
        </w:rPr>
        <w:t xml:space="preserve">helping </w:t>
      </w:r>
      <w:r w:rsidRPr="002C3C7A">
        <w:rPr>
          <w:rFonts w:ascii="Times New Roman" w:hAnsi="Times New Roman" w:cs="Times New Roman"/>
          <w:bCs/>
          <w:color w:val="000000"/>
          <w:sz w:val="24"/>
          <w:szCs w:val="24"/>
        </w:rPr>
        <w:t>to creat</w:t>
      </w:r>
      <w:r w:rsidR="000D0A38">
        <w:rPr>
          <w:rFonts w:ascii="Times New Roman" w:hAnsi="Times New Roman" w:cs="Times New Roman"/>
          <w:bCs/>
          <w:color w:val="000000"/>
          <w:sz w:val="24"/>
          <w:szCs w:val="24"/>
        </w:rPr>
        <w:t>e</w:t>
      </w:r>
      <w:r w:rsidRPr="002C3C7A">
        <w:rPr>
          <w:rFonts w:ascii="Times New Roman" w:hAnsi="Times New Roman" w:cs="Times New Roman"/>
          <w:bCs/>
          <w:color w:val="000000"/>
          <w:sz w:val="24"/>
          <w:szCs w:val="24"/>
        </w:rPr>
        <w:t xml:space="preserve"> a business environment </w:t>
      </w:r>
      <w:r w:rsidR="000D0A38">
        <w:rPr>
          <w:rFonts w:ascii="Times New Roman" w:hAnsi="Times New Roman" w:cs="Times New Roman"/>
          <w:bCs/>
          <w:color w:val="000000"/>
          <w:sz w:val="24"/>
          <w:szCs w:val="24"/>
        </w:rPr>
        <w:t xml:space="preserve">that is </w:t>
      </w:r>
      <w:r w:rsidRPr="002C3C7A">
        <w:rPr>
          <w:rFonts w:ascii="Times New Roman" w:hAnsi="Times New Roman" w:cs="Times New Roman"/>
          <w:bCs/>
          <w:color w:val="000000"/>
          <w:sz w:val="24"/>
          <w:szCs w:val="24"/>
        </w:rPr>
        <w:t>conducive to encouraging private sector investments in Member States. Administrative reforms have been accelerated in countries where they were most needed</w:t>
      </w:r>
      <w:r w:rsidR="000D0A38">
        <w:rPr>
          <w:rFonts w:ascii="Times New Roman" w:hAnsi="Times New Roman" w:cs="Times New Roman"/>
          <w:bCs/>
          <w:color w:val="000000"/>
          <w:sz w:val="24"/>
          <w:szCs w:val="24"/>
        </w:rPr>
        <w:t>. However,</w:t>
      </w:r>
      <w:r w:rsidRPr="002C3C7A">
        <w:rPr>
          <w:rFonts w:ascii="Times New Roman" w:hAnsi="Times New Roman" w:cs="Times New Roman"/>
          <w:bCs/>
          <w:color w:val="000000"/>
          <w:sz w:val="24"/>
          <w:szCs w:val="24"/>
        </w:rPr>
        <w:t xml:space="preserve"> much more work remains to be </w:t>
      </w:r>
      <w:bookmarkStart w:id="2" w:name="_GoBack"/>
      <w:bookmarkEnd w:id="2"/>
      <w:r w:rsidRPr="002C3C7A">
        <w:rPr>
          <w:rFonts w:ascii="Times New Roman" w:hAnsi="Times New Roman" w:cs="Times New Roman"/>
          <w:bCs/>
          <w:color w:val="000000"/>
          <w:sz w:val="24"/>
          <w:szCs w:val="24"/>
        </w:rPr>
        <w:t>done</w:t>
      </w:r>
      <w:r w:rsidR="00664B52">
        <w:rPr>
          <w:rFonts w:ascii="Times New Roman" w:hAnsi="Times New Roman" w:cs="Times New Roman"/>
          <w:bCs/>
          <w:color w:val="000000"/>
          <w:sz w:val="24"/>
          <w:szCs w:val="24"/>
        </w:rPr>
        <w:t xml:space="preserve">. A </w:t>
      </w:r>
      <w:r w:rsidRPr="002C3C7A">
        <w:rPr>
          <w:rFonts w:ascii="Times New Roman" w:hAnsi="Times New Roman" w:cs="Times New Roman"/>
          <w:bCs/>
          <w:color w:val="000000"/>
          <w:sz w:val="24"/>
          <w:szCs w:val="24"/>
        </w:rPr>
        <w:t>stable pipeline of projects in key sectors</w:t>
      </w:r>
      <w:r w:rsidR="00664B52">
        <w:rPr>
          <w:rFonts w:ascii="Times New Roman" w:hAnsi="Times New Roman" w:cs="Times New Roman"/>
          <w:bCs/>
          <w:color w:val="000000"/>
          <w:sz w:val="24"/>
          <w:szCs w:val="24"/>
        </w:rPr>
        <w:t xml:space="preserve"> is still being developed</w:t>
      </w:r>
      <w:r w:rsidRPr="002C3C7A">
        <w:rPr>
          <w:rFonts w:ascii="Times New Roman" w:hAnsi="Times New Roman" w:cs="Times New Roman"/>
          <w:bCs/>
          <w:color w:val="000000"/>
          <w:sz w:val="24"/>
          <w:szCs w:val="24"/>
        </w:rPr>
        <w:t xml:space="preserve">. </w:t>
      </w:r>
    </w:p>
    <w:p w:rsidR="001F2FB1" w:rsidRPr="002C3C7A" w:rsidRDefault="003417A8" w:rsidP="00991AC3">
      <w:pPr>
        <w:spacing w:before="100" w:beforeAutospacing="1" w:after="100" w:afterAutospacing="1"/>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F</w:t>
      </w:r>
      <w:r w:rsidR="00B65BF7" w:rsidRPr="00031CF1">
        <w:rPr>
          <w:rFonts w:ascii="Times New Roman" w:hAnsi="Times New Roman" w:cs="Times New Roman"/>
          <w:b/>
          <w:bCs/>
          <w:color w:val="000000"/>
          <w:sz w:val="24"/>
          <w:szCs w:val="24"/>
        </w:rPr>
        <w:t xml:space="preserve">urther efforts are needed </w:t>
      </w:r>
      <w:r w:rsidR="00B65BF7">
        <w:rPr>
          <w:rFonts w:ascii="Times New Roman" w:hAnsi="Times New Roman" w:cs="Times New Roman"/>
          <w:b/>
          <w:bCs/>
          <w:color w:val="000000"/>
          <w:sz w:val="24"/>
          <w:szCs w:val="24"/>
        </w:rPr>
        <w:t xml:space="preserve">to improve the </w:t>
      </w:r>
      <w:r w:rsidR="009C2DA3">
        <w:rPr>
          <w:rFonts w:ascii="Times New Roman" w:hAnsi="Times New Roman" w:cs="Times New Roman"/>
          <w:b/>
          <w:bCs/>
          <w:color w:val="000000"/>
          <w:sz w:val="24"/>
          <w:szCs w:val="24"/>
        </w:rPr>
        <w:t xml:space="preserve">effectiveness </w:t>
      </w:r>
      <w:r w:rsidR="00B65BF7">
        <w:rPr>
          <w:rFonts w:ascii="Times New Roman" w:hAnsi="Times New Roman" w:cs="Times New Roman"/>
          <w:b/>
          <w:bCs/>
          <w:color w:val="000000"/>
          <w:sz w:val="24"/>
          <w:szCs w:val="24"/>
        </w:rPr>
        <w:t>of justice systems and to prevent an</w:t>
      </w:r>
      <w:r w:rsidR="00B65BF7" w:rsidRPr="00031CF1">
        <w:rPr>
          <w:rFonts w:ascii="Times New Roman" w:hAnsi="Times New Roman" w:cs="Times New Roman"/>
          <w:b/>
          <w:bCs/>
          <w:color w:val="000000"/>
          <w:sz w:val="24"/>
          <w:szCs w:val="24"/>
        </w:rPr>
        <w:t>d fight corruption</w:t>
      </w:r>
      <w:r w:rsidR="00B65BF7">
        <w:rPr>
          <w:rFonts w:ascii="Times New Roman" w:hAnsi="Times New Roman" w:cs="Times New Roman"/>
          <w:b/>
          <w:bCs/>
          <w:color w:val="000000"/>
          <w:sz w:val="24"/>
          <w:szCs w:val="24"/>
        </w:rPr>
        <w:t xml:space="preserve">. </w:t>
      </w:r>
      <w:r w:rsidR="00B65BF7" w:rsidRPr="00464124">
        <w:rPr>
          <w:rFonts w:ascii="Times New Roman" w:hAnsi="Times New Roman" w:cs="Times New Roman"/>
          <w:bCs/>
          <w:color w:val="000000"/>
          <w:sz w:val="24"/>
          <w:szCs w:val="24"/>
        </w:rPr>
        <w:t>These are key issues in a number of Member States, hampering investment, efficient resource allocation, economic performance and growth.</w:t>
      </w:r>
      <w:r w:rsidR="00B65BF7">
        <w:rPr>
          <w:rFonts w:ascii="Times New Roman" w:hAnsi="Times New Roman" w:cs="Times New Roman"/>
          <w:b/>
          <w:bCs/>
          <w:color w:val="000000"/>
          <w:sz w:val="24"/>
          <w:szCs w:val="24"/>
        </w:rPr>
        <w:t xml:space="preserve"> </w:t>
      </w:r>
      <w:r w:rsidR="00B65BF7" w:rsidRPr="00031CF1">
        <w:rPr>
          <w:rFonts w:ascii="Times New Roman" w:hAnsi="Times New Roman" w:cs="Times New Roman"/>
          <w:bCs/>
          <w:color w:val="000000"/>
          <w:sz w:val="24"/>
          <w:szCs w:val="24"/>
        </w:rPr>
        <w:t>Ad</w:t>
      </w:r>
      <w:r w:rsidR="00B65BF7">
        <w:rPr>
          <w:rFonts w:ascii="Times New Roman" w:hAnsi="Times New Roman" w:cs="Times New Roman"/>
          <w:bCs/>
          <w:color w:val="000000"/>
          <w:sz w:val="24"/>
          <w:szCs w:val="24"/>
        </w:rPr>
        <w:t>dressing these challenges is essential</w:t>
      </w:r>
      <w:r w:rsidR="00B65BF7" w:rsidRPr="00031CF1">
        <w:rPr>
          <w:rFonts w:ascii="Times New Roman" w:hAnsi="Times New Roman" w:cs="Times New Roman"/>
          <w:bCs/>
          <w:color w:val="000000"/>
          <w:sz w:val="24"/>
          <w:szCs w:val="24"/>
        </w:rPr>
        <w:t xml:space="preserve"> for improving business confidence and </w:t>
      </w:r>
      <w:r w:rsidR="00B65BF7">
        <w:rPr>
          <w:rFonts w:ascii="Times New Roman" w:hAnsi="Times New Roman" w:cs="Times New Roman"/>
          <w:bCs/>
          <w:color w:val="000000"/>
          <w:sz w:val="24"/>
          <w:szCs w:val="24"/>
        </w:rPr>
        <w:t xml:space="preserve">the </w:t>
      </w:r>
      <w:r w:rsidR="00B65BF7" w:rsidRPr="00031CF1">
        <w:rPr>
          <w:rFonts w:ascii="Times New Roman" w:hAnsi="Times New Roman" w:cs="Times New Roman"/>
          <w:bCs/>
          <w:color w:val="000000"/>
          <w:sz w:val="24"/>
          <w:szCs w:val="24"/>
        </w:rPr>
        <w:t>investment climate, enhancing the efficiency of public spending, promoting fairness and supporting economic, social and territorial cohesion.</w:t>
      </w:r>
      <w:r w:rsidR="001F2FB1">
        <w:rPr>
          <w:rFonts w:ascii="Times New Roman" w:hAnsi="Times New Roman" w:cs="Times New Roman"/>
          <w:bCs/>
          <w:color w:val="000000"/>
          <w:sz w:val="24"/>
          <w:szCs w:val="24"/>
        </w:rPr>
        <w:t xml:space="preserve"> </w:t>
      </w:r>
      <w:r w:rsidR="001F2FB1" w:rsidRPr="001F2FB1">
        <w:rPr>
          <w:rFonts w:ascii="Times New Roman" w:hAnsi="Times New Roman" w:cs="Times New Roman"/>
          <w:bCs/>
          <w:color w:val="000000"/>
          <w:sz w:val="24"/>
          <w:szCs w:val="24"/>
        </w:rPr>
        <w:t>The situation calls for continued, persistent and coherent action particularly in the sectors that remain most vulnerable to corruption: public procurement, public administration, the business environment, healthcare.  Remaining challenges include: fragmented corruption prevention frameworks and inadequate control mechanisms; gaps in the anti-</w:t>
      </w:r>
      <w:r w:rsidR="001F2FB1" w:rsidRPr="001F2FB1">
        <w:rPr>
          <w:rFonts w:ascii="Times New Roman" w:hAnsi="Times New Roman" w:cs="Times New Roman"/>
          <w:bCs/>
          <w:color w:val="000000"/>
          <w:sz w:val="24"/>
          <w:szCs w:val="24"/>
        </w:rPr>
        <w:lastRenderedPageBreak/>
        <w:t>corruption legal framework or enforcement of existing anti-corruption rules; insufficient initiatives on whistleblowing and letterbox companies; insufficient prosecution of high-level corruption; informal payments in healthcare; lack of competition and transparency in public procurement operations.</w:t>
      </w:r>
    </w:p>
    <w:p w:rsidR="00E729AF" w:rsidRPr="002C3C7A" w:rsidRDefault="00E729AF" w:rsidP="00991AC3">
      <w:pPr>
        <w:keepNext/>
        <w:spacing w:before="100" w:beforeAutospacing="1" w:after="100" w:afterAutospacing="1"/>
        <w:jc w:val="both"/>
        <w:rPr>
          <w:rFonts w:ascii="Times New Roman" w:hAnsi="Times New Roman" w:cs="Times New Roman"/>
          <w:i/>
          <w:sz w:val="24"/>
          <w:szCs w:val="24"/>
        </w:rPr>
      </w:pPr>
      <w:r w:rsidRPr="002C3C7A">
        <w:rPr>
          <w:rFonts w:ascii="Times New Roman" w:hAnsi="Times New Roman" w:cs="Times New Roman"/>
          <w:i/>
          <w:sz w:val="24"/>
          <w:szCs w:val="24"/>
        </w:rPr>
        <w:t>Product and services markets</w:t>
      </w:r>
    </w:p>
    <w:p w:rsidR="00E729AF" w:rsidRPr="002C3C7A" w:rsidRDefault="00E729AF" w:rsidP="00991AC3">
      <w:pPr>
        <w:spacing w:before="100" w:beforeAutospacing="1" w:after="100" w:afterAutospacing="1"/>
        <w:jc w:val="both"/>
        <w:rPr>
          <w:rFonts w:ascii="Times New Roman" w:hAnsi="Times New Roman" w:cs="Times New Roman"/>
          <w:color w:val="000000"/>
          <w:sz w:val="24"/>
          <w:szCs w:val="24"/>
        </w:rPr>
      </w:pPr>
      <w:r w:rsidRPr="002C3C7A">
        <w:rPr>
          <w:rFonts w:ascii="Times New Roman" w:hAnsi="Times New Roman" w:cs="Times New Roman"/>
          <w:b/>
          <w:color w:val="000000"/>
          <w:sz w:val="24"/>
          <w:szCs w:val="24"/>
        </w:rPr>
        <w:t xml:space="preserve">Reforms in product and services markets are still making </w:t>
      </w:r>
      <w:r w:rsidR="006B469E" w:rsidRPr="002C3C7A">
        <w:rPr>
          <w:rFonts w:ascii="Times New Roman" w:hAnsi="Times New Roman" w:cs="Times New Roman"/>
          <w:b/>
          <w:color w:val="000000"/>
          <w:sz w:val="24"/>
          <w:szCs w:val="24"/>
        </w:rPr>
        <w:t>insufficient</w:t>
      </w:r>
      <w:r w:rsidRPr="002C3C7A">
        <w:rPr>
          <w:rFonts w:ascii="Times New Roman" w:hAnsi="Times New Roman" w:cs="Times New Roman"/>
          <w:b/>
          <w:color w:val="000000"/>
          <w:sz w:val="24"/>
          <w:szCs w:val="24"/>
        </w:rPr>
        <w:t xml:space="preserve"> progress in most countries.</w:t>
      </w:r>
      <w:r w:rsidRPr="002C3C7A">
        <w:rPr>
          <w:rFonts w:ascii="Times New Roman" w:hAnsi="Times New Roman" w:cs="Times New Roman"/>
          <w:color w:val="000000"/>
          <w:sz w:val="24"/>
          <w:szCs w:val="24"/>
        </w:rPr>
        <w:t xml:space="preserve"> Reforms should be undertaken in Member States </w:t>
      </w:r>
      <w:r w:rsidR="000D0A38">
        <w:rPr>
          <w:rFonts w:ascii="Times New Roman" w:hAnsi="Times New Roman" w:cs="Times New Roman"/>
          <w:color w:val="000000"/>
          <w:sz w:val="24"/>
          <w:szCs w:val="24"/>
        </w:rPr>
        <w:t xml:space="preserve">that </w:t>
      </w:r>
      <w:r w:rsidRPr="002C3C7A">
        <w:rPr>
          <w:rFonts w:ascii="Times New Roman" w:hAnsi="Times New Roman" w:cs="Times New Roman"/>
          <w:color w:val="000000"/>
          <w:sz w:val="24"/>
          <w:szCs w:val="24"/>
        </w:rPr>
        <w:t xml:space="preserve">have not tackled </w:t>
      </w:r>
      <w:r w:rsidR="000D0A38">
        <w:rPr>
          <w:rFonts w:ascii="Times New Roman" w:hAnsi="Times New Roman" w:cs="Times New Roman"/>
          <w:color w:val="000000"/>
          <w:sz w:val="24"/>
          <w:szCs w:val="24"/>
        </w:rPr>
        <w:t xml:space="preserve">them </w:t>
      </w:r>
      <w:r w:rsidRPr="002C3C7A">
        <w:rPr>
          <w:rFonts w:ascii="Times New Roman" w:hAnsi="Times New Roman" w:cs="Times New Roman"/>
          <w:color w:val="000000"/>
          <w:sz w:val="24"/>
          <w:szCs w:val="24"/>
        </w:rPr>
        <w:t xml:space="preserve">yet. In most cases, reforms have been tabled or announced but they still </w:t>
      </w:r>
      <w:r w:rsidR="000D0A38">
        <w:rPr>
          <w:rFonts w:ascii="Times New Roman" w:hAnsi="Times New Roman" w:cs="Times New Roman"/>
          <w:color w:val="000000"/>
          <w:sz w:val="24"/>
          <w:szCs w:val="24"/>
        </w:rPr>
        <w:t xml:space="preserve">need to </w:t>
      </w:r>
      <w:r w:rsidRPr="002C3C7A">
        <w:rPr>
          <w:rFonts w:ascii="Times New Roman" w:hAnsi="Times New Roman" w:cs="Times New Roman"/>
          <w:color w:val="000000"/>
          <w:sz w:val="24"/>
          <w:szCs w:val="24"/>
        </w:rPr>
        <w:t xml:space="preserve">be stepped up, enacted and implemented with </w:t>
      </w:r>
      <w:r w:rsidR="000D0A38">
        <w:rPr>
          <w:rFonts w:ascii="Times New Roman" w:hAnsi="Times New Roman" w:cs="Times New Roman"/>
          <w:color w:val="000000"/>
          <w:sz w:val="24"/>
          <w:szCs w:val="24"/>
        </w:rPr>
        <w:t>resolve</w:t>
      </w:r>
      <w:r w:rsidRPr="002C3C7A">
        <w:rPr>
          <w:rFonts w:ascii="Times New Roman" w:hAnsi="Times New Roman" w:cs="Times New Roman"/>
          <w:color w:val="000000"/>
          <w:sz w:val="24"/>
          <w:szCs w:val="24"/>
        </w:rPr>
        <w:t xml:space="preserve">. </w:t>
      </w:r>
      <w:r w:rsidR="000D0A38">
        <w:rPr>
          <w:rFonts w:ascii="Times New Roman" w:hAnsi="Times New Roman" w:cs="Times New Roman"/>
          <w:color w:val="000000"/>
          <w:sz w:val="24"/>
          <w:szCs w:val="24"/>
        </w:rPr>
        <w:t>W</w:t>
      </w:r>
      <w:r w:rsidRPr="002C3C7A">
        <w:rPr>
          <w:rFonts w:ascii="Times New Roman" w:hAnsi="Times New Roman" w:cs="Times New Roman"/>
          <w:color w:val="000000"/>
          <w:sz w:val="24"/>
          <w:szCs w:val="24"/>
        </w:rPr>
        <w:t xml:space="preserve">here reforms have been </w:t>
      </w:r>
      <w:r w:rsidR="006177E1">
        <w:rPr>
          <w:rFonts w:ascii="Times New Roman" w:hAnsi="Times New Roman" w:cs="Times New Roman"/>
          <w:color w:val="000000"/>
          <w:sz w:val="24"/>
          <w:szCs w:val="24"/>
        </w:rPr>
        <w:t>adopted</w:t>
      </w:r>
      <w:r w:rsidR="006177E1" w:rsidRPr="002C3C7A">
        <w:rPr>
          <w:rFonts w:ascii="Times New Roman" w:hAnsi="Times New Roman" w:cs="Times New Roman"/>
          <w:color w:val="000000"/>
          <w:sz w:val="24"/>
          <w:szCs w:val="24"/>
        </w:rPr>
        <w:t xml:space="preserve"> </w:t>
      </w:r>
      <w:r w:rsidRPr="002C3C7A">
        <w:rPr>
          <w:rFonts w:ascii="Times New Roman" w:hAnsi="Times New Roman" w:cs="Times New Roman"/>
          <w:color w:val="000000"/>
          <w:sz w:val="24"/>
          <w:szCs w:val="24"/>
        </w:rPr>
        <w:t xml:space="preserve">and are in the process of </w:t>
      </w:r>
      <w:r w:rsidR="000D0A38">
        <w:rPr>
          <w:rFonts w:ascii="Times New Roman" w:hAnsi="Times New Roman" w:cs="Times New Roman"/>
          <w:color w:val="000000"/>
          <w:sz w:val="24"/>
          <w:szCs w:val="24"/>
        </w:rPr>
        <w:t>being implemented</w:t>
      </w:r>
      <w:r w:rsidRPr="002C3C7A">
        <w:rPr>
          <w:rFonts w:ascii="Times New Roman" w:hAnsi="Times New Roman" w:cs="Times New Roman"/>
          <w:color w:val="000000"/>
          <w:sz w:val="24"/>
          <w:szCs w:val="24"/>
        </w:rPr>
        <w:t xml:space="preserve">, measures must be taken to ensure </w:t>
      </w:r>
      <w:r w:rsidR="000D0A38">
        <w:rPr>
          <w:rFonts w:ascii="Times New Roman" w:hAnsi="Times New Roman" w:cs="Times New Roman"/>
          <w:color w:val="000000"/>
          <w:sz w:val="24"/>
          <w:szCs w:val="24"/>
        </w:rPr>
        <w:t xml:space="preserve">the </w:t>
      </w:r>
      <w:r w:rsidRPr="002C3C7A">
        <w:rPr>
          <w:rFonts w:ascii="Times New Roman" w:hAnsi="Times New Roman" w:cs="Times New Roman"/>
          <w:color w:val="000000"/>
          <w:sz w:val="24"/>
          <w:szCs w:val="24"/>
        </w:rPr>
        <w:t xml:space="preserve">implementation </w:t>
      </w:r>
      <w:r w:rsidR="000D0A38">
        <w:rPr>
          <w:rFonts w:ascii="Times New Roman" w:hAnsi="Times New Roman" w:cs="Times New Roman"/>
          <w:color w:val="000000"/>
          <w:sz w:val="24"/>
          <w:szCs w:val="24"/>
        </w:rPr>
        <w:t xml:space="preserve">is unwavering </w:t>
      </w:r>
      <w:r w:rsidRPr="002C3C7A">
        <w:rPr>
          <w:rFonts w:ascii="Times New Roman" w:hAnsi="Times New Roman" w:cs="Times New Roman"/>
          <w:color w:val="000000"/>
          <w:sz w:val="24"/>
          <w:szCs w:val="24"/>
        </w:rPr>
        <w:t>and</w:t>
      </w:r>
      <w:r w:rsidR="006177E1">
        <w:rPr>
          <w:rFonts w:ascii="Times New Roman" w:hAnsi="Times New Roman" w:cs="Times New Roman"/>
          <w:color w:val="000000"/>
          <w:sz w:val="24"/>
          <w:szCs w:val="24"/>
        </w:rPr>
        <w:t>,</w:t>
      </w:r>
      <w:r w:rsidRPr="002C3C7A">
        <w:rPr>
          <w:rFonts w:ascii="Times New Roman" w:hAnsi="Times New Roman" w:cs="Times New Roman"/>
          <w:color w:val="000000"/>
          <w:sz w:val="24"/>
          <w:szCs w:val="24"/>
        </w:rPr>
        <w:t xml:space="preserve"> most importantly, to consolidate the reforms to avoid potential backtracking.</w:t>
      </w:r>
    </w:p>
    <w:p w:rsidR="00E729AF" w:rsidRPr="002C3C7A" w:rsidRDefault="00E729AF" w:rsidP="00991AC3">
      <w:pPr>
        <w:spacing w:before="100" w:beforeAutospacing="1" w:after="100" w:afterAutospacing="1"/>
        <w:jc w:val="both"/>
        <w:rPr>
          <w:rFonts w:ascii="Times New Roman" w:hAnsi="Times New Roman" w:cs="Times New Roman"/>
          <w:color w:val="000000"/>
          <w:sz w:val="24"/>
          <w:szCs w:val="24"/>
        </w:rPr>
      </w:pPr>
      <w:r w:rsidRPr="002C3C7A">
        <w:rPr>
          <w:rFonts w:ascii="Times New Roman" w:hAnsi="Times New Roman" w:cs="Times New Roman"/>
          <w:b/>
          <w:color w:val="000000"/>
          <w:sz w:val="24"/>
          <w:szCs w:val="24"/>
        </w:rPr>
        <w:t>Reforms are particularly important in business services and retail distribution, given the impact that these sectors have on the productivity of other services and manufacturing sectors.</w:t>
      </w:r>
      <w:r w:rsidRPr="002C3C7A">
        <w:rPr>
          <w:rFonts w:ascii="Times New Roman" w:hAnsi="Times New Roman" w:cs="Times New Roman"/>
          <w:color w:val="000000"/>
          <w:sz w:val="24"/>
          <w:szCs w:val="24"/>
        </w:rPr>
        <w:t xml:space="preserve"> Specific sectoral initiatives have been launched in these areas and </w:t>
      </w:r>
      <w:r w:rsidR="002C3114">
        <w:rPr>
          <w:rFonts w:ascii="Times New Roman" w:hAnsi="Times New Roman" w:cs="Times New Roman"/>
          <w:color w:val="000000"/>
          <w:sz w:val="24"/>
          <w:szCs w:val="24"/>
        </w:rPr>
        <w:t xml:space="preserve">in past Semester cycles it has been recommended that </w:t>
      </w:r>
      <w:r w:rsidRPr="002C3C7A">
        <w:rPr>
          <w:rFonts w:ascii="Times New Roman" w:hAnsi="Times New Roman" w:cs="Times New Roman"/>
          <w:color w:val="000000"/>
          <w:sz w:val="24"/>
          <w:szCs w:val="24"/>
        </w:rPr>
        <w:t xml:space="preserve">Member </w:t>
      </w:r>
      <w:r w:rsidR="002C3114">
        <w:rPr>
          <w:rFonts w:ascii="Times New Roman" w:hAnsi="Times New Roman" w:cs="Times New Roman"/>
          <w:color w:val="000000"/>
          <w:sz w:val="24"/>
          <w:szCs w:val="24"/>
        </w:rPr>
        <w:t>S</w:t>
      </w:r>
      <w:r w:rsidRPr="002C3C7A">
        <w:rPr>
          <w:rFonts w:ascii="Times New Roman" w:hAnsi="Times New Roman" w:cs="Times New Roman"/>
          <w:color w:val="000000"/>
          <w:sz w:val="24"/>
          <w:szCs w:val="24"/>
        </w:rPr>
        <w:t>tates introduc</w:t>
      </w:r>
      <w:r w:rsidR="002C3114">
        <w:rPr>
          <w:rFonts w:ascii="Times New Roman" w:hAnsi="Times New Roman" w:cs="Times New Roman"/>
          <w:color w:val="000000"/>
          <w:sz w:val="24"/>
          <w:szCs w:val="24"/>
        </w:rPr>
        <w:t>e</w:t>
      </w:r>
      <w:r w:rsidRPr="002C3C7A">
        <w:rPr>
          <w:rFonts w:ascii="Times New Roman" w:hAnsi="Times New Roman" w:cs="Times New Roman"/>
          <w:color w:val="000000"/>
          <w:sz w:val="24"/>
          <w:szCs w:val="24"/>
        </w:rPr>
        <w:t xml:space="preserve"> reforms in these sectors</w:t>
      </w:r>
      <w:r w:rsidR="002C3114">
        <w:rPr>
          <w:rFonts w:ascii="Times New Roman" w:hAnsi="Times New Roman" w:cs="Times New Roman"/>
          <w:color w:val="000000"/>
          <w:sz w:val="24"/>
          <w:szCs w:val="24"/>
        </w:rPr>
        <w:t>.</w:t>
      </w:r>
      <w:r w:rsidRPr="002C3C7A">
        <w:rPr>
          <w:rFonts w:ascii="Times New Roman" w:hAnsi="Times New Roman" w:cs="Times New Roman"/>
          <w:color w:val="000000"/>
          <w:sz w:val="24"/>
          <w:szCs w:val="24"/>
        </w:rPr>
        <w:t xml:space="preserve"> </w:t>
      </w:r>
      <w:r w:rsidR="002C3114">
        <w:rPr>
          <w:rFonts w:ascii="Times New Roman" w:hAnsi="Times New Roman" w:cs="Times New Roman"/>
          <w:color w:val="000000"/>
          <w:sz w:val="24"/>
          <w:szCs w:val="24"/>
        </w:rPr>
        <w:t xml:space="preserve">Finding complementary ways to implement </w:t>
      </w:r>
      <w:r w:rsidRPr="002C3C7A">
        <w:rPr>
          <w:rFonts w:ascii="Times New Roman" w:hAnsi="Times New Roman" w:cs="Times New Roman"/>
          <w:color w:val="000000"/>
          <w:sz w:val="24"/>
          <w:szCs w:val="24"/>
        </w:rPr>
        <w:t xml:space="preserve">these measures and reforms alongside other </w:t>
      </w:r>
      <w:r w:rsidR="007E5C9D">
        <w:rPr>
          <w:rFonts w:ascii="Times New Roman" w:hAnsi="Times New Roman" w:cs="Times New Roman"/>
          <w:color w:val="000000"/>
          <w:sz w:val="24"/>
          <w:szCs w:val="24"/>
        </w:rPr>
        <w:t>efforts</w:t>
      </w:r>
      <w:r w:rsidR="007E5C9D" w:rsidRPr="002C3C7A">
        <w:rPr>
          <w:rFonts w:ascii="Times New Roman" w:hAnsi="Times New Roman" w:cs="Times New Roman"/>
          <w:color w:val="000000"/>
          <w:sz w:val="24"/>
          <w:szCs w:val="24"/>
        </w:rPr>
        <w:t xml:space="preserve"> </w:t>
      </w:r>
      <w:r w:rsidRPr="002C3C7A">
        <w:rPr>
          <w:rFonts w:ascii="Times New Roman" w:hAnsi="Times New Roman" w:cs="Times New Roman"/>
          <w:color w:val="000000"/>
          <w:sz w:val="24"/>
          <w:szCs w:val="24"/>
        </w:rPr>
        <w:t xml:space="preserve">to increase competition in these markets will be essential </w:t>
      </w:r>
      <w:r w:rsidR="002C3114">
        <w:rPr>
          <w:rFonts w:ascii="Times New Roman" w:hAnsi="Times New Roman" w:cs="Times New Roman"/>
          <w:color w:val="000000"/>
          <w:sz w:val="24"/>
          <w:szCs w:val="24"/>
        </w:rPr>
        <w:t xml:space="preserve">for </w:t>
      </w:r>
      <w:r w:rsidRPr="002C3C7A">
        <w:rPr>
          <w:rFonts w:ascii="Times New Roman" w:hAnsi="Times New Roman" w:cs="Times New Roman"/>
          <w:color w:val="000000"/>
          <w:sz w:val="24"/>
          <w:szCs w:val="24"/>
        </w:rPr>
        <w:t>foster</w:t>
      </w:r>
      <w:r w:rsidR="002C3114">
        <w:rPr>
          <w:rFonts w:ascii="Times New Roman" w:hAnsi="Times New Roman" w:cs="Times New Roman"/>
          <w:color w:val="000000"/>
          <w:sz w:val="24"/>
          <w:szCs w:val="24"/>
        </w:rPr>
        <w:t>ing</w:t>
      </w:r>
      <w:r w:rsidRPr="002C3C7A">
        <w:rPr>
          <w:rFonts w:ascii="Times New Roman" w:hAnsi="Times New Roman" w:cs="Times New Roman"/>
          <w:color w:val="000000"/>
          <w:sz w:val="24"/>
          <w:szCs w:val="24"/>
        </w:rPr>
        <w:t xml:space="preserve"> productivity growth in th</w:t>
      </w:r>
      <w:r w:rsidR="002C3114">
        <w:rPr>
          <w:rFonts w:ascii="Times New Roman" w:hAnsi="Times New Roman" w:cs="Times New Roman"/>
          <w:color w:val="000000"/>
          <w:sz w:val="24"/>
          <w:szCs w:val="24"/>
        </w:rPr>
        <w:t>e</w:t>
      </w:r>
      <w:r w:rsidRPr="002C3C7A">
        <w:rPr>
          <w:rFonts w:ascii="Times New Roman" w:hAnsi="Times New Roman" w:cs="Times New Roman"/>
          <w:color w:val="000000"/>
          <w:sz w:val="24"/>
          <w:szCs w:val="24"/>
        </w:rPr>
        <w:t xml:space="preserve"> service sectors as well as in other sectors using these services as inputs. This would </w:t>
      </w:r>
      <w:r w:rsidR="002C3114">
        <w:rPr>
          <w:rFonts w:ascii="Times New Roman" w:hAnsi="Times New Roman" w:cs="Times New Roman"/>
          <w:color w:val="000000"/>
          <w:sz w:val="24"/>
          <w:szCs w:val="24"/>
        </w:rPr>
        <w:t>help improve</w:t>
      </w:r>
      <w:r w:rsidRPr="002C3C7A">
        <w:rPr>
          <w:rFonts w:ascii="Times New Roman" w:hAnsi="Times New Roman" w:cs="Times New Roman"/>
          <w:color w:val="000000"/>
          <w:sz w:val="24"/>
          <w:szCs w:val="24"/>
        </w:rPr>
        <w:t xml:space="preserve"> competitiveness across primary and user sectors. </w:t>
      </w:r>
      <w:r w:rsidR="003417A8">
        <w:rPr>
          <w:rFonts w:ascii="Times New Roman" w:hAnsi="Times New Roman" w:cs="Times New Roman"/>
          <w:color w:val="000000"/>
          <w:sz w:val="24"/>
          <w:szCs w:val="24"/>
        </w:rPr>
        <w:t xml:space="preserve">Greater competition and lower prices of professional services would be of particular benefit for SMEs. </w:t>
      </w:r>
      <w:r w:rsidRPr="002C3C7A">
        <w:rPr>
          <w:rFonts w:ascii="Times New Roman" w:hAnsi="Times New Roman" w:cs="Times New Roman"/>
          <w:color w:val="000000"/>
          <w:sz w:val="24"/>
          <w:szCs w:val="24"/>
        </w:rPr>
        <w:t>These reforms should also allow for the development of new business models and innovation.</w:t>
      </w:r>
    </w:p>
    <w:p w:rsidR="00E729AF" w:rsidRPr="002C3C7A" w:rsidRDefault="00E729AF" w:rsidP="00991AC3">
      <w:pPr>
        <w:keepNext/>
        <w:spacing w:before="100" w:beforeAutospacing="1" w:after="100" w:afterAutospacing="1"/>
        <w:jc w:val="both"/>
        <w:rPr>
          <w:rFonts w:ascii="Times New Roman" w:hAnsi="Times New Roman" w:cs="Times New Roman"/>
          <w:i/>
          <w:sz w:val="24"/>
          <w:szCs w:val="24"/>
        </w:rPr>
      </w:pPr>
      <w:r w:rsidRPr="002C3C7A">
        <w:rPr>
          <w:rFonts w:ascii="Times New Roman" w:hAnsi="Times New Roman" w:cs="Times New Roman"/>
          <w:i/>
          <w:sz w:val="24"/>
          <w:szCs w:val="24"/>
        </w:rPr>
        <w:t>Public finance</w:t>
      </w:r>
    </w:p>
    <w:p w:rsidR="00E729AF" w:rsidRPr="002C3C7A" w:rsidRDefault="00E729AF" w:rsidP="00991AC3">
      <w:pPr>
        <w:spacing w:before="100" w:beforeAutospacing="1" w:after="100" w:afterAutospacing="1"/>
        <w:jc w:val="both"/>
        <w:rPr>
          <w:rFonts w:ascii="Times New Roman" w:hAnsi="Times New Roman" w:cs="Times New Roman"/>
          <w:sz w:val="24"/>
          <w:szCs w:val="24"/>
        </w:rPr>
      </w:pPr>
      <w:r w:rsidRPr="002C3C7A">
        <w:rPr>
          <w:rFonts w:ascii="Times New Roman" w:hAnsi="Times New Roman" w:cs="Times New Roman"/>
          <w:b/>
          <w:sz w:val="24"/>
          <w:szCs w:val="24"/>
        </w:rPr>
        <w:t xml:space="preserve">Public finances are expected to continue improving in </w:t>
      </w:r>
      <w:r w:rsidR="00F87F53">
        <w:rPr>
          <w:rFonts w:ascii="Times New Roman" w:hAnsi="Times New Roman" w:cs="Times New Roman"/>
          <w:b/>
          <w:sz w:val="24"/>
          <w:szCs w:val="24"/>
        </w:rPr>
        <w:t xml:space="preserve">both </w:t>
      </w:r>
      <w:r w:rsidRPr="002C3C7A">
        <w:rPr>
          <w:rFonts w:ascii="Times New Roman" w:hAnsi="Times New Roman" w:cs="Times New Roman"/>
          <w:b/>
          <w:sz w:val="24"/>
          <w:szCs w:val="24"/>
        </w:rPr>
        <w:t>the euro area and the EU as a whole.</w:t>
      </w:r>
      <w:r w:rsidRPr="002C3C7A">
        <w:rPr>
          <w:rFonts w:ascii="Times New Roman" w:hAnsi="Times New Roman" w:cs="Times New Roman"/>
          <w:sz w:val="24"/>
          <w:szCs w:val="24"/>
        </w:rPr>
        <w:t xml:space="preserve"> Benefiting from the ongoing moderate economic expansion and exceptionally low interest rates, the general government deficit and debt continued to decline in 2016 in the euro area and the EU (deficit respectively at 1.5% and 1.7% of GDP, and debt respectively at 91.3% and 85.1% of GDP). The general government deficit is expected to continue to decline in both areas in 2017 and 2018, and to reach in 2018 1.3% of GDP in the euro area and 1.5% in the EU, under a no-policy-change assumption. General government debt is also projected to continue declining in 2017 and 2018 in the euro area and the EU. It is forecast to reach, in the euro area, 90.</w:t>
      </w:r>
      <w:r w:rsidR="00035B6B">
        <w:rPr>
          <w:rFonts w:ascii="Times New Roman" w:hAnsi="Times New Roman" w:cs="Times New Roman"/>
          <w:sz w:val="24"/>
          <w:szCs w:val="24"/>
        </w:rPr>
        <w:t>3</w:t>
      </w:r>
      <w:r w:rsidRPr="002C3C7A">
        <w:rPr>
          <w:rFonts w:ascii="Times New Roman" w:hAnsi="Times New Roman" w:cs="Times New Roman"/>
          <w:sz w:val="24"/>
          <w:szCs w:val="24"/>
        </w:rPr>
        <w:t>% in 2017 (84.7% in the EU) and 88.8% in 2018 (83.</w:t>
      </w:r>
      <w:r w:rsidR="00035B6B">
        <w:rPr>
          <w:rFonts w:ascii="Times New Roman" w:hAnsi="Times New Roman" w:cs="Times New Roman"/>
          <w:sz w:val="24"/>
          <w:szCs w:val="24"/>
        </w:rPr>
        <w:t>6</w:t>
      </w:r>
      <w:r w:rsidRPr="002C3C7A">
        <w:rPr>
          <w:rFonts w:ascii="Times New Roman" w:hAnsi="Times New Roman" w:cs="Times New Roman"/>
          <w:sz w:val="24"/>
          <w:szCs w:val="24"/>
        </w:rPr>
        <w:t>% in the EU).</w:t>
      </w:r>
      <w:r w:rsidR="002C3C7A">
        <w:rPr>
          <w:rFonts w:ascii="Times New Roman" w:hAnsi="Times New Roman" w:cs="Times New Roman"/>
          <w:sz w:val="24"/>
          <w:szCs w:val="24"/>
        </w:rPr>
        <w:t xml:space="preserve"> The</w:t>
      </w:r>
      <w:r w:rsidRPr="002C3C7A">
        <w:rPr>
          <w:rFonts w:ascii="Times New Roman" w:hAnsi="Times New Roman" w:cs="Times New Roman"/>
          <w:sz w:val="24"/>
          <w:szCs w:val="24"/>
        </w:rPr>
        <w:t>s</w:t>
      </w:r>
      <w:r w:rsidR="002C3C7A">
        <w:rPr>
          <w:rFonts w:ascii="Times New Roman" w:hAnsi="Times New Roman" w:cs="Times New Roman"/>
          <w:sz w:val="24"/>
          <w:szCs w:val="24"/>
        </w:rPr>
        <w:t>e</w:t>
      </w:r>
      <w:r w:rsidRPr="002C3C7A">
        <w:rPr>
          <w:rFonts w:ascii="Times New Roman" w:hAnsi="Times New Roman" w:cs="Times New Roman"/>
          <w:sz w:val="24"/>
          <w:szCs w:val="24"/>
        </w:rPr>
        <w:t xml:space="preserve"> are the lowest </w:t>
      </w:r>
      <w:r w:rsidR="007E5C9D">
        <w:rPr>
          <w:rFonts w:ascii="Times New Roman" w:hAnsi="Times New Roman" w:cs="Times New Roman"/>
          <w:sz w:val="24"/>
          <w:szCs w:val="24"/>
        </w:rPr>
        <w:t>levels</w:t>
      </w:r>
      <w:r w:rsidRPr="002C3C7A">
        <w:rPr>
          <w:rFonts w:ascii="Times New Roman" w:hAnsi="Times New Roman" w:cs="Times New Roman"/>
          <w:sz w:val="24"/>
          <w:szCs w:val="24"/>
        </w:rPr>
        <w:t xml:space="preserve"> since 2012. Debt reduction can be ascribed mainly to primary surpluses, reduced interest expenditure, real GDP growth </w:t>
      </w:r>
      <w:r w:rsidR="003417A8">
        <w:rPr>
          <w:rFonts w:ascii="Times New Roman" w:hAnsi="Times New Roman" w:cs="Times New Roman"/>
          <w:sz w:val="24"/>
          <w:szCs w:val="24"/>
        </w:rPr>
        <w:t xml:space="preserve">(albeit modest) </w:t>
      </w:r>
      <w:r w:rsidRPr="002C3C7A">
        <w:rPr>
          <w:rFonts w:ascii="Times New Roman" w:hAnsi="Times New Roman" w:cs="Times New Roman"/>
          <w:sz w:val="24"/>
          <w:szCs w:val="24"/>
        </w:rPr>
        <w:t xml:space="preserve">and the expected rise in inflation.    </w:t>
      </w:r>
    </w:p>
    <w:p w:rsidR="00E52C13" w:rsidRDefault="007C71D6" w:rsidP="00991AC3">
      <w:pPr>
        <w:autoSpaceDE w:val="0"/>
        <w:autoSpaceDN w:val="0"/>
        <w:adjustRightInd w:val="0"/>
        <w:jc w:val="both"/>
        <w:rPr>
          <w:rFonts w:ascii="Times New Roman" w:hAnsi="Times New Roman" w:cs="Times New Roman"/>
          <w:sz w:val="24"/>
          <w:szCs w:val="24"/>
        </w:rPr>
      </w:pPr>
      <w:r w:rsidRPr="00E52C13">
        <w:rPr>
          <w:rFonts w:ascii="Times New Roman" w:hAnsi="Times New Roman" w:cs="Times New Roman"/>
          <w:b/>
          <w:sz w:val="24"/>
          <w:szCs w:val="24"/>
        </w:rPr>
        <w:lastRenderedPageBreak/>
        <w:t xml:space="preserve">After several years of budgetary consolidation, the fiscal policy stance in the euro area and the EU remained broadly neutral in 2016 and is </w:t>
      </w:r>
      <w:r w:rsidR="00E52C13" w:rsidRPr="00E52C13">
        <w:rPr>
          <w:rFonts w:ascii="Times New Roman" w:hAnsi="Times New Roman" w:cs="Times New Roman"/>
          <w:b/>
          <w:sz w:val="24"/>
          <w:szCs w:val="24"/>
        </w:rPr>
        <w:t>set to remain so in 2017</w:t>
      </w:r>
      <w:r w:rsidRPr="00E52C13">
        <w:rPr>
          <w:rFonts w:ascii="Times New Roman" w:hAnsi="Times New Roman" w:cs="Times New Roman"/>
          <w:sz w:val="24"/>
          <w:szCs w:val="24"/>
        </w:rPr>
        <w:t xml:space="preserve">. With the proposed country-specific recommendations, the fiscal adjustment required for Member States under the preventive arm not yet at their medium-term budgetary objective is consistent with the Stability and Growth Pact. For Member States under the corrective arm, the proposed recommendations reiterate the need to comply with the requirements of the Excessive Deficit Procedure. Setting public debt ratios firmly on a downward path is especially important in those countries with high debt and where vulnerability to financial market swings may be more accentuated. Overall, these adjustments to comply fully with the Pact would imply a slightly restrictive aggregate fiscal stance for the euro area as a whole in 2018. </w:t>
      </w:r>
    </w:p>
    <w:p w:rsidR="00E729AF" w:rsidRPr="00D23D04" w:rsidRDefault="007C71D6" w:rsidP="00D23D04">
      <w:pPr>
        <w:autoSpaceDE w:val="0"/>
        <w:autoSpaceDN w:val="0"/>
        <w:adjustRightInd w:val="0"/>
        <w:jc w:val="both"/>
        <w:rPr>
          <w:rFonts w:ascii="Times New Roman" w:hAnsi="Times New Roman" w:cs="Times New Roman"/>
          <w:sz w:val="24"/>
          <w:szCs w:val="24"/>
        </w:rPr>
      </w:pPr>
      <w:r w:rsidRPr="007B4CD1">
        <w:rPr>
          <w:rFonts w:ascii="Times New Roman" w:hAnsi="Times New Roman" w:cs="Times New Roman"/>
          <w:b/>
          <w:sz w:val="24"/>
          <w:szCs w:val="24"/>
        </w:rPr>
        <w:t xml:space="preserve">Within the existing rules of the </w:t>
      </w:r>
      <w:r w:rsidR="001536F4">
        <w:rPr>
          <w:rFonts w:ascii="Times New Roman" w:hAnsi="Times New Roman" w:cs="Times New Roman"/>
          <w:b/>
          <w:sz w:val="24"/>
          <w:szCs w:val="24"/>
        </w:rPr>
        <w:t xml:space="preserve">Stability and Growth </w:t>
      </w:r>
      <w:r w:rsidRPr="007B4CD1">
        <w:rPr>
          <w:rFonts w:ascii="Times New Roman" w:hAnsi="Times New Roman" w:cs="Times New Roman"/>
          <w:b/>
          <w:sz w:val="24"/>
          <w:szCs w:val="24"/>
        </w:rPr>
        <w:t>Pact, euro area Member States that have fiscal scope are therefore recommended to use it to support domestic demand, notably investment in infrastructure, research and innovation</w:t>
      </w:r>
      <w:r w:rsidRPr="007B4CD1">
        <w:rPr>
          <w:rFonts w:ascii="Times New Roman" w:hAnsi="Times New Roman" w:cs="Times New Roman"/>
          <w:sz w:val="24"/>
          <w:szCs w:val="24"/>
        </w:rPr>
        <w:t>.</w:t>
      </w:r>
      <w:r w:rsidRPr="00E52C13">
        <w:rPr>
          <w:rFonts w:ascii="Times New Roman" w:hAnsi="Times New Roman" w:cs="Times New Roman"/>
          <w:sz w:val="24"/>
          <w:szCs w:val="24"/>
        </w:rPr>
        <w:t xml:space="preserve"> This would strengthen their growth potential and lead to a better distribution of the fiscal adjustment across the euro area. It would also contribute to achieving a broadly </w:t>
      </w:r>
      <w:r w:rsidR="001536F4">
        <w:rPr>
          <w:rFonts w:ascii="Times New Roman" w:hAnsi="Times New Roman" w:cs="Times New Roman"/>
          <w:sz w:val="24"/>
          <w:szCs w:val="24"/>
        </w:rPr>
        <w:t xml:space="preserve">more appropriate </w:t>
      </w:r>
      <w:r w:rsidRPr="00E52C13">
        <w:rPr>
          <w:rFonts w:ascii="Times New Roman" w:hAnsi="Times New Roman" w:cs="Times New Roman"/>
          <w:sz w:val="24"/>
          <w:szCs w:val="24"/>
        </w:rPr>
        <w:t xml:space="preserve">fiscal stance for the area as a whole in 2018. This would be </w:t>
      </w:r>
      <w:r w:rsidR="001536F4">
        <w:rPr>
          <w:rFonts w:ascii="Times New Roman" w:hAnsi="Times New Roman" w:cs="Times New Roman"/>
          <w:sz w:val="24"/>
          <w:szCs w:val="24"/>
        </w:rPr>
        <w:t xml:space="preserve">important </w:t>
      </w:r>
      <w:r w:rsidRPr="00E52C13">
        <w:rPr>
          <w:rFonts w:ascii="Times New Roman" w:hAnsi="Times New Roman" w:cs="Times New Roman"/>
          <w:sz w:val="24"/>
          <w:szCs w:val="24"/>
        </w:rPr>
        <w:t xml:space="preserve">to strike the right balance between </w:t>
      </w:r>
      <w:r w:rsidR="001536F4">
        <w:rPr>
          <w:rFonts w:ascii="Times New Roman" w:hAnsi="Times New Roman" w:cs="Times New Roman"/>
          <w:sz w:val="24"/>
          <w:szCs w:val="24"/>
        </w:rPr>
        <w:t xml:space="preserve">attaining </w:t>
      </w:r>
      <w:r w:rsidRPr="00E52C13">
        <w:rPr>
          <w:rFonts w:ascii="Times New Roman" w:hAnsi="Times New Roman" w:cs="Times New Roman"/>
          <w:sz w:val="24"/>
          <w:szCs w:val="24"/>
        </w:rPr>
        <w:t xml:space="preserve">public finance sustainability and </w:t>
      </w:r>
      <w:r w:rsidR="001536F4">
        <w:rPr>
          <w:rFonts w:ascii="Times New Roman" w:hAnsi="Times New Roman" w:cs="Times New Roman"/>
          <w:sz w:val="24"/>
          <w:szCs w:val="24"/>
        </w:rPr>
        <w:t xml:space="preserve">safeguarding </w:t>
      </w:r>
      <w:r w:rsidRPr="00E52C13">
        <w:rPr>
          <w:rFonts w:ascii="Times New Roman" w:hAnsi="Times New Roman" w:cs="Times New Roman"/>
          <w:sz w:val="24"/>
          <w:szCs w:val="24"/>
        </w:rPr>
        <w:t xml:space="preserve">the </w:t>
      </w:r>
      <w:r w:rsidR="001536F4">
        <w:rPr>
          <w:rFonts w:ascii="Times New Roman" w:hAnsi="Times New Roman" w:cs="Times New Roman"/>
          <w:sz w:val="24"/>
          <w:szCs w:val="24"/>
        </w:rPr>
        <w:t xml:space="preserve">ongoing </w:t>
      </w:r>
      <w:r w:rsidRPr="00E52C13">
        <w:rPr>
          <w:rFonts w:ascii="Times New Roman" w:hAnsi="Times New Roman" w:cs="Times New Roman"/>
          <w:sz w:val="24"/>
          <w:szCs w:val="24"/>
        </w:rPr>
        <w:t>recovery</w:t>
      </w:r>
      <w:r w:rsidR="001536F4">
        <w:rPr>
          <w:rFonts w:ascii="Times New Roman" w:hAnsi="Times New Roman" w:cs="Times New Roman"/>
          <w:sz w:val="24"/>
          <w:szCs w:val="24"/>
        </w:rPr>
        <w:t xml:space="preserve"> in economic activity and in employment</w:t>
      </w:r>
      <w:r w:rsidRPr="00E52C13">
        <w:rPr>
          <w:rFonts w:ascii="Times New Roman" w:hAnsi="Times New Roman" w:cs="Times New Roman"/>
          <w:sz w:val="24"/>
          <w:szCs w:val="24"/>
        </w:rPr>
        <w:t>.</w:t>
      </w:r>
      <w:r w:rsidRPr="007C71D6">
        <w:rPr>
          <w:rFonts w:ascii="Times New Roman" w:hAnsi="Times New Roman" w:cs="Times New Roman"/>
          <w:sz w:val="24"/>
          <w:szCs w:val="24"/>
        </w:rPr>
        <w:t xml:space="preserve"> </w:t>
      </w:r>
      <w:r w:rsidR="001536F4">
        <w:rPr>
          <w:rFonts w:ascii="Times New Roman" w:hAnsi="Times New Roman" w:cs="Times New Roman"/>
          <w:sz w:val="24"/>
          <w:szCs w:val="24"/>
        </w:rPr>
        <w:t>Moreover, w</w:t>
      </w:r>
      <w:r w:rsidR="007B4CD1" w:rsidRPr="007B4CD1">
        <w:rPr>
          <w:rFonts w:ascii="Times New Roman" w:hAnsi="Times New Roman" w:cs="Times New Roman"/>
          <w:sz w:val="24"/>
          <w:szCs w:val="24"/>
        </w:rPr>
        <w:t xml:space="preserve">hen taking policy </w:t>
      </w:r>
      <w:r w:rsidR="001536F4">
        <w:rPr>
          <w:rFonts w:ascii="Times New Roman" w:hAnsi="Times New Roman" w:cs="Times New Roman"/>
          <w:sz w:val="24"/>
          <w:szCs w:val="24"/>
        </w:rPr>
        <w:t xml:space="preserve">measures </w:t>
      </w:r>
      <w:r w:rsidR="007B4CD1" w:rsidRPr="007B4CD1">
        <w:rPr>
          <w:rFonts w:ascii="Times New Roman" w:hAnsi="Times New Roman" w:cs="Times New Roman"/>
          <w:sz w:val="24"/>
          <w:szCs w:val="24"/>
        </w:rPr>
        <w:t>to achieve the recommended budgetary adjustments</w:t>
      </w:r>
      <w:r w:rsidR="001536F4">
        <w:rPr>
          <w:rFonts w:ascii="Times New Roman" w:hAnsi="Times New Roman" w:cs="Times New Roman"/>
          <w:sz w:val="24"/>
          <w:szCs w:val="24"/>
        </w:rPr>
        <w:t xml:space="preserve"> under the preventive arm of the Pact</w:t>
      </w:r>
      <w:r w:rsidR="007B4CD1" w:rsidRPr="007B4CD1">
        <w:rPr>
          <w:rFonts w:ascii="Times New Roman" w:hAnsi="Times New Roman" w:cs="Times New Roman"/>
          <w:sz w:val="24"/>
          <w:szCs w:val="24"/>
        </w:rPr>
        <w:t xml:space="preserve">, </w:t>
      </w:r>
      <w:r w:rsidR="001536F4">
        <w:rPr>
          <w:rFonts w:ascii="Times New Roman" w:hAnsi="Times New Roman" w:cs="Times New Roman"/>
          <w:sz w:val="24"/>
          <w:szCs w:val="24"/>
        </w:rPr>
        <w:t xml:space="preserve">Member States should consider </w:t>
      </w:r>
      <w:r w:rsidR="007B4CD1" w:rsidRPr="007B4CD1">
        <w:rPr>
          <w:rFonts w:ascii="Times New Roman" w:hAnsi="Times New Roman" w:cs="Times New Roman"/>
          <w:sz w:val="24"/>
          <w:szCs w:val="24"/>
        </w:rPr>
        <w:t xml:space="preserve">the need to </w:t>
      </w:r>
      <w:r w:rsidR="001536F4">
        <w:rPr>
          <w:rFonts w:ascii="Times New Roman" w:hAnsi="Times New Roman" w:cs="Times New Roman"/>
          <w:sz w:val="24"/>
          <w:szCs w:val="24"/>
        </w:rPr>
        <w:t xml:space="preserve">support </w:t>
      </w:r>
      <w:r w:rsidR="007B4CD1" w:rsidRPr="007B4CD1">
        <w:rPr>
          <w:rFonts w:ascii="Times New Roman" w:hAnsi="Times New Roman" w:cs="Times New Roman"/>
          <w:sz w:val="24"/>
          <w:szCs w:val="24"/>
        </w:rPr>
        <w:t xml:space="preserve">the recovery and </w:t>
      </w:r>
      <w:r w:rsidR="001536F4">
        <w:rPr>
          <w:rFonts w:ascii="Times New Roman" w:hAnsi="Times New Roman" w:cs="Times New Roman"/>
          <w:sz w:val="24"/>
          <w:szCs w:val="24"/>
        </w:rPr>
        <w:t xml:space="preserve">the </w:t>
      </w:r>
      <w:r w:rsidR="007B4CD1" w:rsidRPr="007B4CD1">
        <w:rPr>
          <w:rFonts w:ascii="Times New Roman" w:hAnsi="Times New Roman" w:cs="Times New Roman"/>
          <w:sz w:val="24"/>
          <w:szCs w:val="24"/>
        </w:rPr>
        <w:t xml:space="preserve">potential impact on employment. </w:t>
      </w:r>
      <w:r w:rsidR="001536F4" w:rsidRPr="00B21F6C">
        <w:rPr>
          <w:rFonts w:ascii="Times New Roman" w:hAnsi="Times New Roman" w:cs="Times New Roman"/>
          <w:sz w:val="24"/>
          <w:szCs w:val="24"/>
        </w:rPr>
        <w:t xml:space="preserve">In carrying out its future assessments, </w:t>
      </w:r>
      <w:r w:rsidR="007B4CD1" w:rsidRPr="007B4CD1">
        <w:rPr>
          <w:rFonts w:ascii="Times New Roman" w:hAnsi="Times New Roman" w:cs="Times New Roman"/>
          <w:sz w:val="24"/>
          <w:szCs w:val="24"/>
        </w:rPr>
        <w:t xml:space="preserve">the Commission </w:t>
      </w:r>
      <w:r w:rsidR="007B4CD1">
        <w:rPr>
          <w:rFonts w:ascii="Times New Roman" w:hAnsi="Times New Roman" w:cs="Times New Roman"/>
          <w:sz w:val="24"/>
          <w:szCs w:val="24"/>
        </w:rPr>
        <w:t xml:space="preserve">stands ready to use </w:t>
      </w:r>
      <w:r w:rsidR="001536F4">
        <w:rPr>
          <w:rFonts w:ascii="Times New Roman" w:hAnsi="Times New Roman" w:cs="Times New Roman"/>
          <w:sz w:val="24"/>
          <w:szCs w:val="24"/>
        </w:rPr>
        <w:t xml:space="preserve">its </w:t>
      </w:r>
      <w:r w:rsidR="007B4CD1">
        <w:rPr>
          <w:rFonts w:ascii="Times New Roman" w:hAnsi="Times New Roman" w:cs="Times New Roman"/>
          <w:sz w:val="24"/>
          <w:szCs w:val="24"/>
        </w:rPr>
        <w:t xml:space="preserve">margin of appreciation in cases where the impact of large fiscal adjustment on growth and employment is particularly significant. </w:t>
      </w:r>
      <w:r w:rsidR="00D23D04" w:rsidRPr="00B21F6C">
        <w:rPr>
          <w:rFonts w:ascii="Times New Roman" w:hAnsi="Times New Roman" w:cs="Times New Roman"/>
          <w:sz w:val="24"/>
          <w:szCs w:val="24"/>
        </w:rPr>
        <w:t>In that context, it will</w:t>
      </w:r>
      <w:r w:rsidR="00D23D04" w:rsidRPr="00B21F6C">
        <w:rPr>
          <w:rFonts w:ascii="Times New Roman" w:hAnsi="Times New Roman" w:cs="Times New Roman"/>
          <w:color w:val="000000"/>
          <w:sz w:val="24"/>
          <w:szCs w:val="24"/>
        </w:rPr>
        <w:t xml:space="preserve"> </w:t>
      </w:r>
      <w:r w:rsidR="00D23D04" w:rsidRPr="00B21F6C">
        <w:rPr>
          <w:rFonts w:ascii="Times New Roman" w:hAnsi="Times New Roman" w:cs="Times New Roman"/>
          <w:sz w:val="24"/>
          <w:szCs w:val="24"/>
        </w:rPr>
        <w:t>make use of a</w:t>
      </w:r>
      <w:r w:rsidR="00D23D04" w:rsidRPr="00095A65">
        <w:rPr>
          <w:rFonts w:ascii="Times New Roman" w:hAnsi="Times New Roman" w:cs="Times New Roman"/>
          <w:sz w:val="24"/>
          <w:szCs w:val="24"/>
        </w:rPr>
        <w:t>ny updated information regarding the projected position in the economic cycle</w:t>
      </w:r>
      <w:r w:rsidR="00D23D04" w:rsidRPr="00B21F6C">
        <w:rPr>
          <w:rFonts w:ascii="Times New Roman" w:hAnsi="Times New Roman" w:cs="Times New Roman"/>
          <w:sz w:val="24"/>
          <w:szCs w:val="24"/>
        </w:rPr>
        <w:t xml:space="preserve"> of each Member State and work closely with the Council to that effect.</w:t>
      </w:r>
      <w:r w:rsidR="00D23D04" w:rsidRPr="00B21F6C">
        <w:rPr>
          <w:rFonts w:ascii="Times New Roman" w:hAnsi="Times New Roman" w:cs="Times New Roman"/>
          <w:color w:val="000000"/>
          <w:sz w:val="24"/>
          <w:szCs w:val="24"/>
        </w:rPr>
        <w:t xml:space="preserve"> This is consistent with the approach already set out by the Commission in its Communication of January 2015 on making the best use of the flexibility within the rules of the Stability and Growth Pact and in its Communication of November 2016 on a positive fiscal stance for the euro area.</w:t>
      </w:r>
    </w:p>
    <w:p w:rsidR="00E729AF" w:rsidRPr="002C3C7A" w:rsidRDefault="00E729AF" w:rsidP="00464124">
      <w:pPr>
        <w:pStyle w:val="Default"/>
        <w:spacing w:line="276" w:lineRule="auto"/>
        <w:jc w:val="both"/>
        <w:rPr>
          <w:rFonts w:ascii="Times New Roman" w:eastAsiaTheme="minorHAnsi" w:hAnsi="Times New Roman" w:cs="Times New Roman"/>
        </w:rPr>
      </w:pPr>
      <w:r w:rsidRPr="002C3C7A">
        <w:rPr>
          <w:rFonts w:ascii="Times New Roman" w:eastAsiaTheme="minorHAnsi" w:hAnsi="Times New Roman" w:cs="Times New Roman"/>
          <w:b/>
        </w:rPr>
        <w:t>In order to find resources to finance medium-to-long term investment projects, Member States should focus on enhancing the composition of their public finances.</w:t>
      </w:r>
      <w:r w:rsidRPr="002C3C7A">
        <w:rPr>
          <w:rFonts w:ascii="Times New Roman" w:eastAsiaTheme="minorHAnsi" w:hAnsi="Times New Roman" w:cs="Times New Roman"/>
        </w:rPr>
        <w:t xml:space="preserve"> Close attention should be paid to an appropriate allocation of public revenues and expenditures across the various policy areas, resulting in a combination </w:t>
      </w:r>
      <w:r w:rsidR="007E5C9D">
        <w:rPr>
          <w:rFonts w:ascii="Times New Roman" w:eastAsiaTheme="minorHAnsi" w:hAnsi="Times New Roman" w:cs="Times New Roman"/>
        </w:rPr>
        <w:t>that</w:t>
      </w:r>
      <w:r w:rsidR="007E5C9D" w:rsidRPr="002C3C7A">
        <w:rPr>
          <w:rFonts w:ascii="Times New Roman" w:eastAsiaTheme="minorHAnsi" w:hAnsi="Times New Roman" w:cs="Times New Roman"/>
        </w:rPr>
        <w:t xml:space="preserve"> </w:t>
      </w:r>
      <w:r w:rsidRPr="002C3C7A">
        <w:rPr>
          <w:rFonts w:ascii="Times New Roman" w:eastAsiaTheme="minorHAnsi" w:hAnsi="Times New Roman" w:cs="Times New Roman"/>
        </w:rPr>
        <w:t>can be more conducive to growth. Further efforts are needed to improve the efficiency and effectiveness of public taxation and expenditure at all levels of government. This may be instrumental in containing further the overall cost of the public sector, and may provide space to support policies that help boost growth and productivity and social inclusion, for example by investing in social infrastructure and upgrading worker</w:t>
      </w:r>
      <w:r w:rsidR="007E5C9D">
        <w:rPr>
          <w:rFonts w:ascii="Times New Roman" w:eastAsiaTheme="minorHAnsi" w:hAnsi="Times New Roman" w:cs="Times New Roman"/>
        </w:rPr>
        <w:t>s</w:t>
      </w:r>
      <w:r w:rsidRPr="002C3C7A">
        <w:rPr>
          <w:rFonts w:ascii="Times New Roman" w:eastAsiaTheme="minorHAnsi" w:hAnsi="Times New Roman" w:cs="Times New Roman"/>
        </w:rPr>
        <w:t xml:space="preserve">’ skills. </w:t>
      </w:r>
      <w:r w:rsidR="00097318">
        <w:rPr>
          <w:rFonts w:ascii="Times New Roman" w:eastAsiaTheme="minorHAnsi" w:hAnsi="Times New Roman" w:cs="Times New Roman"/>
        </w:rPr>
        <w:t>B</w:t>
      </w:r>
      <w:r w:rsidRPr="002C3C7A">
        <w:rPr>
          <w:rFonts w:ascii="Times New Roman" w:eastAsiaTheme="minorHAnsi" w:hAnsi="Times New Roman" w:cs="Times New Roman"/>
        </w:rPr>
        <w:t xml:space="preserve">usiness </w:t>
      </w:r>
      <w:r w:rsidR="00097318">
        <w:rPr>
          <w:rFonts w:ascii="Times New Roman" w:eastAsiaTheme="minorHAnsi" w:hAnsi="Times New Roman" w:cs="Times New Roman"/>
        </w:rPr>
        <w:t xml:space="preserve">activity </w:t>
      </w:r>
      <w:r w:rsidRPr="002C3C7A">
        <w:rPr>
          <w:rFonts w:ascii="Times New Roman" w:eastAsiaTheme="minorHAnsi" w:hAnsi="Times New Roman" w:cs="Times New Roman"/>
        </w:rPr>
        <w:t xml:space="preserve">and social fairness </w:t>
      </w:r>
      <w:r w:rsidR="00097318">
        <w:rPr>
          <w:rFonts w:ascii="Times New Roman" w:eastAsiaTheme="minorHAnsi" w:hAnsi="Times New Roman" w:cs="Times New Roman"/>
        </w:rPr>
        <w:t xml:space="preserve">would both benefit from </w:t>
      </w:r>
      <w:r w:rsidRPr="002C3C7A">
        <w:rPr>
          <w:rFonts w:ascii="Times New Roman" w:eastAsiaTheme="minorHAnsi" w:hAnsi="Times New Roman" w:cs="Times New Roman"/>
        </w:rPr>
        <w:t xml:space="preserve">the provision of an effective, well-functioning public administration and </w:t>
      </w:r>
      <w:r w:rsidR="007E5C9D">
        <w:rPr>
          <w:rFonts w:ascii="Times New Roman" w:eastAsiaTheme="minorHAnsi" w:hAnsi="Times New Roman" w:cs="Times New Roman"/>
        </w:rPr>
        <w:t xml:space="preserve">an </w:t>
      </w:r>
      <w:r w:rsidRPr="002C3C7A">
        <w:rPr>
          <w:rFonts w:ascii="Times New Roman" w:eastAsiaTheme="minorHAnsi" w:hAnsi="Times New Roman" w:cs="Times New Roman"/>
        </w:rPr>
        <w:t>adequate level of social services and public goods.</w:t>
      </w:r>
    </w:p>
    <w:p w:rsidR="00E729AF" w:rsidRDefault="00E729AF" w:rsidP="00991AC3">
      <w:pPr>
        <w:pStyle w:val="Default"/>
        <w:jc w:val="both"/>
        <w:rPr>
          <w:rFonts w:ascii="Times New Roman" w:eastAsiaTheme="minorHAnsi" w:hAnsi="Times New Roman" w:cs="Times New Roman"/>
        </w:rPr>
      </w:pPr>
    </w:p>
    <w:p w:rsidR="007C71D6" w:rsidRPr="003A4CCE" w:rsidRDefault="007C71D6" w:rsidP="007C71D6">
      <w:pPr>
        <w:keepNext/>
        <w:pBdr>
          <w:top w:val="single" w:sz="4" w:space="1" w:color="auto"/>
          <w:left w:val="single" w:sz="4" w:space="4" w:color="auto"/>
          <w:bottom w:val="single" w:sz="4" w:space="1" w:color="auto"/>
          <w:right w:val="single" w:sz="4" w:space="4" w:color="auto"/>
        </w:pBdr>
        <w:spacing w:before="120"/>
        <w:jc w:val="both"/>
        <w:outlineLvl w:val="0"/>
        <w:rPr>
          <w:rFonts w:ascii="Times New Roman" w:eastAsia="Calibri" w:hAnsi="Times New Roman"/>
          <w:b/>
          <w:sz w:val="20"/>
          <w:szCs w:val="20"/>
        </w:rPr>
      </w:pPr>
      <w:r w:rsidRPr="003A4CCE">
        <w:rPr>
          <w:rFonts w:ascii="Times New Roman" w:eastAsia="Calibri" w:hAnsi="Times New Roman"/>
          <w:b/>
          <w:sz w:val="20"/>
          <w:szCs w:val="20"/>
        </w:rPr>
        <w:t xml:space="preserve">Box 2. Update on surveillance under the Stability and Growth Pact </w:t>
      </w:r>
    </w:p>
    <w:p w:rsidR="007C71D6" w:rsidRPr="003A4CCE" w:rsidRDefault="007C71D6" w:rsidP="007C71D6">
      <w:pPr>
        <w:keepNext/>
        <w:pBdr>
          <w:top w:val="single" w:sz="4" w:space="1" w:color="auto"/>
          <w:left w:val="single" w:sz="4" w:space="4" w:color="auto"/>
          <w:bottom w:val="single" w:sz="4" w:space="1" w:color="auto"/>
          <w:right w:val="single" w:sz="4" w:space="4" w:color="auto"/>
        </w:pBdr>
        <w:spacing w:before="120"/>
        <w:jc w:val="both"/>
        <w:outlineLvl w:val="0"/>
        <w:rPr>
          <w:rFonts w:ascii="Times New Roman" w:eastAsia="Calibri" w:hAnsi="Times New Roman"/>
          <w:sz w:val="24"/>
          <w:szCs w:val="24"/>
        </w:rPr>
      </w:pPr>
      <w:r w:rsidRPr="003A4CCE">
        <w:rPr>
          <w:rFonts w:ascii="Times New Roman" w:eastAsia="Calibri" w:hAnsi="Times New Roman"/>
          <w:sz w:val="24"/>
          <w:szCs w:val="24"/>
        </w:rPr>
        <w:t>Based on the assessment of the 2016 Stability and Converge Programmes, the Commission has also taken a number of steps under the Stability and Growth Pact.</w:t>
      </w:r>
    </w:p>
    <w:p w:rsidR="007C71D6" w:rsidRPr="003A4CCE" w:rsidRDefault="007C71D6" w:rsidP="007C71D6">
      <w:pPr>
        <w:keepNext/>
        <w:pBdr>
          <w:top w:val="single" w:sz="4" w:space="1" w:color="auto"/>
          <w:left w:val="single" w:sz="4" w:space="4" w:color="auto"/>
          <w:bottom w:val="single" w:sz="4" w:space="1" w:color="auto"/>
          <w:right w:val="single" w:sz="4" w:space="4" w:color="auto"/>
        </w:pBdr>
        <w:spacing w:before="120"/>
        <w:jc w:val="both"/>
        <w:outlineLvl w:val="0"/>
        <w:rPr>
          <w:rFonts w:ascii="Times New Roman" w:eastAsia="Calibri" w:hAnsi="Times New Roman"/>
          <w:sz w:val="24"/>
          <w:szCs w:val="24"/>
        </w:rPr>
      </w:pPr>
      <w:r w:rsidRPr="003A4CCE">
        <w:rPr>
          <w:rFonts w:ascii="Times New Roman" w:eastAsia="Calibri" w:hAnsi="Times New Roman"/>
          <w:sz w:val="24"/>
          <w:szCs w:val="24"/>
        </w:rPr>
        <w:t>The Commission recommends that the excessive deficit procedure is closed fo</w:t>
      </w:r>
      <w:r w:rsidR="003A4CCE" w:rsidRPr="003A4CCE">
        <w:rPr>
          <w:rFonts w:ascii="Times New Roman" w:eastAsia="Calibri" w:hAnsi="Times New Roman"/>
          <w:sz w:val="24"/>
          <w:szCs w:val="24"/>
        </w:rPr>
        <w:t>r Croatia</w:t>
      </w:r>
      <w:r w:rsidR="007B4CD1">
        <w:rPr>
          <w:rFonts w:ascii="Times New Roman" w:eastAsia="Calibri" w:hAnsi="Times New Roman"/>
          <w:sz w:val="24"/>
          <w:szCs w:val="24"/>
        </w:rPr>
        <w:t xml:space="preserve"> and </w:t>
      </w:r>
      <w:r w:rsidR="003A4CCE" w:rsidRPr="003A4CCE">
        <w:rPr>
          <w:rFonts w:ascii="Times New Roman" w:eastAsia="Calibri" w:hAnsi="Times New Roman"/>
          <w:sz w:val="24"/>
          <w:szCs w:val="24"/>
        </w:rPr>
        <w:t>Portugal</w:t>
      </w:r>
      <w:r w:rsidRPr="003A4CCE">
        <w:rPr>
          <w:rFonts w:ascii="Times New Roman" w:eastAsia="Calibri" w:hAnsi="Times New Roman"/>
          <w:sz w:val="24"/>
          <w:szCs w:val="24"/>
        </w:rPr>
        <w:t xml:space="preserve">. This would leave only </w:t>
      </w:r>
      <w:r w:rsidR="001536F4">
        <w:rPr>
          <w:rFonts w:ascii="Times New Roman" w:eastAsia="Calibri" w:hAnsi="Times New Roman"/>
          <w:sz w:val="24"/>
          <w:szCs w:val="24"/>
        </w:rPr>
        <w:t>four</w:t>
      </w:r>
      <w:r w:rsidRPr="003A4CCE">
        <w:rPr>
          <w:rFonts w:ascii="Times New Roman" w:eastAsia="Calibri" w:hAnsi="Times New Roman"/>
          <w:sz w:val="24"/>
          <w:szCs w:val="24"/>
        </w:rPr>
        <w:t xml:space="preserve"> Member States under the corrective arm of the Pact. </w:t>
      </w:r>
    </w:p>
    <w:p w:rsidR="007C71D6" w:rsidRPr="003A4CCE" w:rsidRDefault="007C71D6" w:rsidP="007C71D6">
      <w:pPr>
        <w:keepNext/>
        <w:pBdr>
          <w:top w:val="single" w:sz="4" w:space="1" w:color="auto"/>
          <w:left w:val="single" w:sz="4" w:space="4" w:color="auto"/>
          <w:bottom w:val="single" w:sz="4" w:space="1" w:color="auto"/>
          <w:right w:val="single" w:sz="4" w:space="4" w:color="auto"/>
        </w:pBdr>
        <w:spacing w:before="120"/>
        <w:jc w:val="both"/>
        <w:outlineLvl w:val="0"/>
        <w:rPr>
          <w:rFonts w:ascii="Times New Roman" w:eastAsia="Calibri" w:hAnsi="Times New Roman"/>
          <w:sz w:val="24"/>
          <w:szCs w:val="24"/>
        </w:rPr>
      </w:pPr>
      <w:r w:rsidRPr="003A4CCE">
        <w:rPr>
          <w:rFonts w:ascii="Times New Roman" w:eastAsia="Calibri" w:hAnsi="Times New Roman"/>
          <w:sz w:val="24"/>
          <w:szCs w:val="24"/>
        </w:rPr>
        <w:t>The Commission adopted reports for Belgium and Finland under Article 126(3) TFEU, in which it reviews their compliance with the debt criterion of the Treaty. In both cases, the conclusion is that the debt criterion should be considered as currently complied with. In the case of Belgium, additional fiscal measures are</w:t>
      </w:r>
      <w:r w:rsidR="00360123">
        <w:rPr>
          <w:rFonts w:ascii="Times New Roman" w:eastAsia="Calibri" w:hAnsi="Times New Roman"/>
          <w:sz w:val="24"/>
          <w:szCs w:val="24"/>
        </w:rPr>
        <w:t xml:space="preserve"> to be</w:t>
      </w:r>
      <w:r w:rsidRPr="003A4CCE">
        <w:rPr>
          <w:rFonts w:ascii="Times New Roman" w:eastAsia="Calibri" w:hAnsi="Times New Roman"/>
          <w:sz w:val="24"/>
          <w:szCs w:val="24"/>
        </w:rPr>
        <w:t xml:space="preserve"> taken in 2017 to ensure broad compliance with the adjustment path towards the MTO in 2016 and 2017 together. In the case of Finland, it is noted that the swift adoption and implementation of structural reforms increasing productivity and supply of labour are key to enhance growth prospects in the medium term and improve fiscal sustainability.</w:t>
      </w:r>
    </w:p>
    <w:p w:rsidR="007C71D6" w:rsidRPr="003A4CCE" w:rsidRDefault="007C71D6" w:rsidP="007C71D6">
      <w:pPr>
        <w:keepNext/>
        <w:pBdr>
          <w:top w:val="single" w:sz="4" w:space="1" w:color="auto"/>
          <w:left w:val="single" w:sz="4" w:space="4" w:color="auto"/>
          <w:bottom w:val="single" w:sz="4" w:space="1" w:color="auto"/>
          <w:right w:val="single" w:sz="4" w:space="4" w:color="auto"/>
        </w:pBdr>
        <w:spacing w:before="120" w:after="120"/>
        <w:jc w:val="both"/>
        <w:outlineLvl w:val="0"/>
        <w:rPr>
          <w:rFonts w:ascii="Times New Roman" w:eastAsia="Calibri" w:hAnsi="Times New Roman"/>
          <w:sz w:val="24"/>
          <w:szCs w:val="24"/>
        </w:rPr>
      </w:pPr>
      <w:r w:rsidRPr="003A4CCE">
        <w:rPr>
          <w:rFonts w:ascii="Times New Roman" w:eastAsia="Calibri" w:hAnsi="Times New Roman"/>
          <w:sz w:val="24"/>
          <w:szCs w:val="24"/>
        </w:rPr>
        <w:t xml:space="preserve">Furthermore, the Commission addressed a warning to Romania on the existence of a significant deviation from the adjustment path toward the medium-term budgetary objective in 2016 and recommends the Council to adopt a recommendation for Romania to take appropriate measures in 2017 with a view to correcting this significant deviation. It is the first time that this procedure of the EU economic governance framework is applied. It provides the authorities the opportunity to take corrective action in order to avoid the opening of an excessive deficit procedure. </w:t>
      </w:r>
    </w:p>
    <w:p w:rsidR="007C71D6" w:rsidRPr="003A4CCE" w:rsidRDefault="007C71D6" w:rsidP="00C37CA6">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eastAsiaTheme="minorHAnsi" w:hAnsi="Times New Roman" w:cs="Times New Roman"/>
        </w:rPr>
      </w:pPr>
      <w:r w:rsidRPr="003A4CCE">
        <w:rPr>
          <w:rFonts w:ascii="Times New Roman" w:hAnsi="Times New Roman"/>
        </w:rPr>
        <w:t xml:space="preserve">Based on the assessment of the 2017 Stability Programmes, the Commission </w:t>
      </w:r>
      <w:r w:rsidR="00A226AA" w:rsidRPr="00A226AA">
        <w:rPr>
          <w:rFonts w:ascii="Times New Roman" w:hAnsi="Times New Roman"/>
        </w:rPr>
        <w:t>takes a favourable view of the flexibility requests of</w:t>
      </w:r>
      <w:r w:rsidRPr="003A4CCE">
        <w:rPr>
          <w:rFonts w:ascii="Times New Roman" w:hAnsi="Times New Roman"/>
        </w:rPr>
        <w:t xml:space="preserve"> Lithuania and Finland. In the case of Finland, flexibility is granted in view of the planned implementation of major structural reforms, notably the Competitiveness Pact and the pension reform, and investment. In the case of Lithuania, flexibility is granted in view of the planned implementation of reforms raising the sustainability of the pension system through a reinforced indexation and a gradual increase of the pensionable service.</w:t>
      </w:r>
    </w:p>
    <w:p w:rsidR="00E729AF" w:rsidRPr="002C3C7A" w:rsidRDefault="00E729AF" w:rsidP="00991AC3">
      <w:pPr>
        <w:keepNext/>
        <w:spacing w:before="480"/>
        <w:jc w:val="both"/>
        <w:outlineLvl w:val="0"/>
        <w:rPr>
          <w:rFonts w:ascii="Times New Roman" w:hAnsi="Times New Roman" w:cs="Times New Roman"/>
          <w:b/>
          <w:bCs/>
          <w:smallCaps/>
          <w:sz w:val="24"/>
          <w:szCs w:val="24"/>
        </w:rPr>
      </w:pPr>
      <w:r w:rsidRPr="002C3C7A">
        <w:rPr>
          <w:rFonts w:ascii="Times New Roman" w:eastAsia="Calibri" w:hAnsi="Times New Roman" w:cs="Times New Roman"/>
          <w:b/>
          <w:sz w:val="24"/>
          <w:szCs w:val="24"/>
        </w:rPr>
        <w:t>4.</w:t>
      </w:r>
      <w:r w:rsidRPr="002C3C7A">
        <w:rPr>
          <w:rFonts w:ascii="Times New Roman" w:eastAsia="Calibri" w:hAnsi="Times New Roman" w:cs="Times New Roman"/>
          <w:b/>
          <w:sz w:val="24"/>
          <w:szCs w:val="24"/>
        </w:rPr>
        <w:tab/>
      </w:r>
      <w:r w:rsidRPr="002C3C7A">
        <w:rPr>
          <w:rFonts w:ascii="Times New Roman" w:hAnsi="Times New Roman" w:cs="Times New Roman"/>
          <w:b/>
          <w:bCs/>
          <w:smallCaps/>
          <w:sz w:val="24"/>
          <w:szCs w:val="24"/>
        </w:rPr>
        <w:t>Conclusion</w:t>
      </w:r>
    </w:p>
    <w:p w:rsidR="00E729AF" w:rsidRPr="002C3C7A" w:rsidRDefault="00E729AF" w:rsidP="00991AC3">
      <w:pPr>
        <w:spacing w:before="100" w:beforeAutospacing="1" w:after="100" w:afterAutospacing="1"/>
        <w:jc w:val="both"/>
        <w:rPr>
          <w:rFonts w:ascii="Times New Roman" w:hAnsi="Times New Roman" w:cs="Times New Roman"/>
          <w:noProof/>
          <w:sz w:val="24"/>
          <w:szCs w:val="24"/>
        </w:rPr>
      </w:pPr>
      <w:r w:rsidRPr="002C3C7A">
        <w:rPr>
          <w:rFonts w:ascii="Times New Roman" w:hAnsi="Times New Roman" w:cs="Times New Roman"/>
          <w:b/>
          <w:noProof/>
          <w:sz w:val="24"/>
          <w:szCs w:val="24"/>
        </w:rPr>
        <w:t xml:space="preserve">Structural reforms, together with </w:t>
      </w:r>
      <w:r w:rsidR="007E5C9D">
        <w:rPr>
          <w:rFonts w:ascii="Times New Roman" w:hAnsi="Times New Roman" w:cs="Times New Roman"/>
          <w:b/>
          <w:noProof/>
          <w:sz w:val="24"/>
          <w:szCs w:val="24"/>
        </w:rPr>
        <w:t xml:space="preserve">the </w:t>
      </w:r>
      <w:r w:rsidR="004C7663">
        <w:rPr>
          <w:rFonts w:ascii="Times New Roman" w:hAnsi="Times New Roman" w:cs="Times New Roman"/>
          <w:b/>
          <w:noProof/>
          <w:sz w:val="24"/>
          <w:szCs w:val="24"/>
        </w:rPr>
        <w:t xml:space="preserve">better </w:t>
      </w:r>
      <w:r w:rsidRPr="002C3C7A">
        <w:rPr>
          <w:rFonts w:ascii="Times New Roman" w:hAnsi="Times New Roman" w:cs="Times New Roman"/>
          <w:b/>
          <w:noProof/>
          <w:sz w:val="24"/>
          <w:szCs w:val="24"/>
        </w:rPr>
        <w:t xml:space="preserve">use of </w:t>
      </w:r>
      <w:r w:rsidR="004C7663">
        <w:rPr>
          <w:rFonts w:ascii="Times New Roman" w:hAnsi="Times New Roman" w:cs="Times New Roman"/>
          <w:b/>
          <w:noProof/>
          <w:sz w:val="24"/>
          <w:szCs w:val="24"/>
        </w:rPr>
        <w:t>public budgets</w:t>
      </w:r>
      <w:r w:rsidRPr="002C3C7A">
        <w:rPr>
          <w:rFonts w:ascii="Times New Roman" w:hAnsi="Times New Roman" w:cs="Times New Roman"/>
          <w:b/>
          <w:noProof/>
          <w:sz w:val="24"/>
          <w:szCs w:val="24"/>
        </w:rPr>
        <w:t xml:space="preserve">, are indispensable to </w:t>
      </w:r>
      <w:r w:rsidR="00F87F53">
        <w:rPr>
          <w:rFonts w:ascii="Times New Roman" w:hAnsi="Times New Roman" w:cs="Times New Roman"/>
          <w:b/>
          <w:noProof/>
          <w:sz w:val="24"/>
          <w:szCs w:val="24"/>
        </w:rPr>
        <w:t xml:space="preserve">lift </w:t>
      </w:r>
      <w:r w:rsidRPr="002C3C7A">
        <w:rPr>
          <w:rFonts w:ascii="Times New Roman" w:hAnsi="Times New Roman" w:cs="Times New Roman"/>
          <w:b/>
          <w:noProof/>
          <w:sz w:val="24"/>
          <w:szCs w:val="24"/>
        </w:rPr>
        <w:t xml:space="preserve">the EU economy to its full potential. </w:t>
      </w:r>
      <w:r w:rsidRPr="002C3C7A">
        <w:rPr>
          <w:rFonts w:ascii="Times New Roman" w:hAnsi="Times New Roman" w:cs="Times New Roman"/>
          <w:noProof/>
          <w:sz w:val="24"/>
          <w:szCs w:val="24"/>
        </w:rPr>
        <w:t xml:space="preserve">The set of recommendations put forward by the Commission draws on both the European and national perspectives. The recommendations follow up on the EU and euro area priorities outlined in the Annual Growth Survey and the recommendations for the economic policy of the euro area. They also build on a thorough dialogue with the Member States, through the country reports, bilateral </w:t>
      </w:r>
      <w:r w:rsidR="007E5C9D">
        <w:rPr>
          <w:rFonts w:ascii="Times New Roman" w:hAnsi="Times New Roman" w:cs="Times New Roman"/>
          <w:noProof/>
          <w:sz w:val="24"/>
          <w:szCs w:val="24"/>
        </w:rPr>
        <w:t>discussions</w:t>
      </w:r>
      <w:r w:rsidR="007E5C9D" w:rsidRPr="002C3C7A">
        <w:rPr>
          <w:rFonts w:ascii="Times New Roman" w:hAnsi="Times New Roman" w:cs="Times New Roman"/>
          <w:noProof/>
          <w:sz w:val="24"/>
          <w:szCs w:val="24"/>
        </w:rPr>
        <w:t xml:space="preserve"> </w:t>
      </w:r>
      <w:r w:rsidRPr="002C3C7A">
        <w:rPr>
          <w:rFonts w:ascii="Times New Roman" w:hAnsi="Times New Roman" w:cs="Times New Roman"/>
          <w:noProof/>
          <w:sz w:val="24"/>
          <w:szCs w:val="24"/>
        </w:rPr>
        <w:t xml:space="preserve">and visits, and the </w:t>
      </w:r>
      <w:r w:rsidRPr="002C3C7A">
        <w:rPr>
          <w:rFonts w:ascii="Times New Roman" w:hAnsi="Times New Roman" w:cs="Times New Roman"/>
          <w:noProof/>
          <w:sz w:val="24"/>
          <w:szCs w:val="24"/>
        </w:rPr>
        <w:lastRenderedPageBreak/>
        <w:t xml:space="preserve">reform agenda, as outlined in the National Reform Programmes and Stability or Convergence Programmes. The recommendations address the most pressing challenges that hinder the creation of more jobs or faster growth. </w:t>
      </w:r>
    </w:p>
    <w:p w:rsidR="00E729AF" w:rsidRPr="002C3C7A" w:rsidRDefault="00E729AF" w:rsidP="00991AC3">
      <w:pPr>
        <w:jc w:val="both"/>
        <w:rPr>
          <w:rFonts w:ascii="Times New Roman" w:eastAsia="Calibri" w:hAnsi="Times New Roman" w:cs="Times New Roman"/>
          <w:sz w:val="24"/>
          <w:szCs w:val="24"/>
        </w:rPr>
      </w:pPr>
      <w:r w:rsidRPr="00C278FF">
        <w:rPr>
          <w:rFonts w:ascii="Times New Roman" w:hAnsi="Times New Roman" w:cs="Times New Roman"/>
          <w:b/>
          <w:noProof/>
          <w:sz w:val="24"/>
          <w:szCs w:val="24"/>
          <w:lang w:eastAsia="en-GB"/>
        </w:rPr>
        <w:t xml:space="preserve">The Commission calls on the Council to endorse the proposed approach </w:t>
      </w:r>
      <w:r w:rsidRPr="002C3C7A">
        <w:rPr>
          <w:rFonts w:ascii="Times New Roman" w:hAnsi="Times New Roman" w:cs="Times New Roman"/>
          <w:noProof/>
          <w:sz w:val="24"/>
          <w:szCs w:val="24"/>
          <w:lang w:eastAsia="en-GB"/>
        </w:rPr>
        <w:t>for the 2017-2018 country-specific recommendations and related decisions under the Stability and Growth Pact</w:t>
      </w:r>
      <w:r w:rsidR="00F87F53">
        <w:rPr>
          <w:rFonts w:ascii="Times New Roman" w:hAnsi="Times New Roman" w:cs="Times New Roman"/>
          <w:noProof/>
          <w:sz w:val="24"/>
          <w:szCs w:val="24"/>
          <w:lang w:eastAsia="en-GB"/>
        </w:rPr>
        <w:t>. It also calls</w:t>
      </w:r>
      <w:r w:rsidRPr="002C3C7A">
        <w:rPr>
          <w:rFonts w:ascii="Times New Roman" w:hAnsi="Times New Roman" w:cs="Times New Roman"/>
          <w:noProof/>
          <w:sz w:val="24"/>
          <w:szCs w:val="24"/>
          <w:lang w:eastAsia="en-GB"/>
        </w:rPr>
        <w:t xml:space="preserve"> on Member States to implement them fully and in a timely manner. The Commission will continue to engage with stakeholders at all levels to ensure broad ownership and effective follow-up and implementation. </w:t>
      </w:r>
      <w:r w:rsidRPr="002C3C7A">
        <w:rPr>
          <w:rFonts w:ascii="Times New Roman" w:eastAsia="Calibri" w:hAnsi="Times New Roman" w:cs="Times New Roman"/>
          <w:sz w:val="24"/>
          <w:szCs w:val="24"/>
        </w:rPr>
        <w:t xml:space="preserve">The Commission </w:t>
      </w:r>
      <w:r w:rsidR="00C43629">
        <w:rPr>
          <w:rFonts w:ascii="Times New Roman" w:eastAsia="Calibri" w:hAnsi="Times New Roman" w:cs="Times New Roman"/>
          <w:sz w:val="24"/>
          <w:szCs w:val="24"/>
        </w:rPr>
        <w:t xml:space="preserve">is also available to </w:t>
      </w:r>
      <w:r w:rsidRPr="002C3C7A">
        <w:rPr>
          <w:rFonts w:ascii="Times New Roman" w:eastAsia="Calibri" w:hAnsi="Times New Roman" w:cs="Times New Roman"/>
          <w:sz w:val="24"/>
          <w:szCs w:val="24"/>
        </w:rPr>
        <w:t xml:space="preserve">provide </w:t>
      </w:r>
      <w:r w:rsidR="004C7663">
        <w:rPr>
          <w:rFonts w:ascii="Times New Roman" w:eastAsia="Calibri" w:hAnsi="Times New Roman" w:cs="Times New Roman"/>
          <w:sz w:val="24"/>
          <w:szCs w:val="24"/>
        </w:rPr>
        <w:t xml:space="preserve">on-request </w:t>
      </w:r>
      <w:r w:rsidRPr="002C3C7A">
        <w:rPr>
          <w:rFonts w:ascii="Times New Roman" w:eastAsia="Calibri" w:hAnsi="Times New Roman" w:cs="Times New Roman"/>
          <w:sz w:val="24"/>
          <w:szCs w:val="24"/>
        </w:rPr>
        <w:t xml:space="preserve">reform support to the Member States through </w:t>
      </w:r>
      <w:r w:rsidR="00F87F53">
        <w:rPr>
          <w:rFonts w:ascii="Times New Roman" w:eastAsia="Calibri" w:hAnsi="Times New Roman" w:cs="Times New Roman"/>
          <w:sz w:val="24"/>
          <w:szCs w:val="24"/>
        </w:rPr>
        <w:t>the</w:t>
      </w:r>
      <w:r w:rsidR="00C43629">
        <w:rPr>
          <w:rFonts w:ascii="Times New Roman" w:eastAsia="Calibri" w:hAnsi="Times New Roman" w:cs="Times New Roman"/>
          <w:sz w:val="24"/>
          <w:szCs w:val="24"/>
        </w:rPr>
        <w:t xml:space="preserve"> </w:t>
      </w:r>
      <w:r w:rsidR="00E0600A">
        <w:rPr>
          <w:rFonts w:ascii="Times New Roman" w:eastAsia="Calibri" w:hAnsi="Times New Roman" w:cs="Times New Roman"/>
          <w:sz w:val="24"/>
          <w:szCs w:val="24"/>
        </w:rPr>
        <w:t xml:space="preserve">newly set-up </w:t>
      </w:r>
      <w:r w:rsidRPr="002C3C7A">
        <w:rPr>
          <w:rFonts w:ascii="Times New Roman" w:eastAsia="Calibri" w:hAnsi="Times New Roman" w:cs="Times New Roman"/>
          <w:sz w:val="24"/>
          <w:szCs w:val="24"/>
        </w:rPr>
        <w:t xml:space="preserve">Structural Reform Support Service and </w:t>
      </w:r>
      <w:r w:rsidR="004C7663">
        <w:rPr>
          <w:rFonts w:ascii="Times New Roman" w:eastAsia="Calibri" w:hAnsi="Times New Roman" w:cs="Times New Roman"/>
          <w:sz w:val="24"/>
          <w:szCs w:val="24"/>
        </w:rPr>
        <w:t xml:space="preserve">through </w:t>
      </w:r>
      <w:r w:rsidRPr="002C3C7A">
        <w:rPr>
          <w:rFonts w:ascii="Times New Roman" w:eastAsia="Calibri" w:hAnsi="Times New Roman" w:cs="Times New Roman"/>
          <w:sz w:val="24"/>
          <w:szCs w:val="24"/>
        </w:rPr>
        <w:t>the</w:t>
      </w:r>
      <w:r w:rsidR="00C43629">
        <w:rPr>
          <w:rFonts w:ascii="Times New Roman" w:eastAsia="Calibri" w:hAnsi="Times New Roman" w:cs="Times New Roman"/>
          <w:sz w:val="24"/>
          <w:szCs w:val="24"/>
        </w:rPr>
        <w:t xml:space="preserve"> best use of the</w:t>
      </w:r>
      <w:r w:rsidRPr="002C3C7A">
        <w:rPr>
          <w:rFonts w:ascii="Times New Roman" w:eastAsia="Calibri" w:hAnsi="Times New Roman" w:cs="Times New Roman"/>
          <w:sz w:val="24"/>
          <w:szCs w:val="24"/>
        </w:rPr>
        <w:t xml:space="preserve"> European Structural and Investment Funds. </w:t>
      </w:r>
    </w:p>
    <w:p w:rsidR="00E729AF" w:rsidRPr="002C3C7A" w:rsidRDefault="00E729AF" w:rsidP="00991AC3">
      <w:pPr>
        <w:spacing w:before="100" w:beforeAutospacing="1" w:after="100" w:afterAutospacing="1"/>
        <w:jc w:val="both"/>
        <w:rPr>
          <w:rFonts w:ascii="Times New Roman" w:hAnsi="Times New Roman" w:cs="Times New Roman"/>
          <w:sz w:val="24"/>
          <w:szCs w:val="24"/>
        </w:rPr>
      </w:pPr>
    </w:p>
    <w:p w:rsidR="00E729AF" w:rsidRPr="002C3C7A" w:rsidRDefault="00E729AF" w:rsidP="00991AC3">
      <w:pPr>
        <w:spacing w:before="100" w:beforeAutospacing="1" w:after="100" w:afterAutospacing="1"/>
        <w:jc w:val="both"/>
        <w:rPr>
          <w:rFonts w:ascii="Times New Roman" w:hAnsi="Times New Roman" w:cs="Times New Roman"/>
          <w:sz w:val="24"/>
          <w:szCs w:val="24"/>
        </w:rPr>
        <w:sectPr w:rsidR="00E729AF" w:rsidRPr="002C3C7A" w:rsidSect="00E729AF">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pgNumType w:start="2"/>
          <w:cols w:space="708"/>
          <w:docGrid w:linePitch="360"/>
        </w:sectPr>
      </w:pPr>
    </w:p>
    <w:p w:rsidR="00E729AF" w:rsidRDefault="00E729AF" w:rsidP="00AF1615">
      <w:pPr>
        <w:spacing w:after="60"/>
        <w:jc w:val="both"/>
        <w:outlineLvl w:val="0"/>
        <w:rPr>
          <w:rFonts w:ascii="Times New Roman" w:hAnsi="Times New Roman" w:cs="Times New Roman"/>
          <w:b/>
          <w:smallCaps/>
          <w:sz w:val="24"/>
          <w:szCs w:val="24"/>
          <w:u w:val="single"/>
        </w:rPr>
      </w:pPr>
      <w:r w:rsidRPr="00621064">
        <w:rPr>
          <w:rFonts w:ascii="Times New Roman" w:hAnsi="Times New Roman" w:cs="Times New Roman"/>
          <w:b/>
          <w:smallCaps/>
          <w:sz w:val="24"/>
          <w:szCs w:val="24"/>
          <w:u w:val="single"/>
        </w:rPr>
        <w:lastRenderedPageBreak/>
        <w:t xml:space="preserve">Table 1 </w:t>
      </w:r>
      <w:r w:rsidR="00AF1615" w:rsidRPr="00621064">
        <w:rPr>
          <w:rFonts w:ascii="Times New Roman" w:hAnsi="Times New Roman" w:cs="Times New Roman"/>
          <w:b/>
          <w:smallCaps/>
          <w:sz w:val="24"/>
          <w:szCs w:val="24"/>
          <w:u w:val="single"/>
        </w:rPr>
        <w:t>–</w:t>
      </w:r>
      <w:r w:rsidRPr="00621064">
        <w:rPr>
          <w:rFonts w:ascii="Times New Roman" w:hAnsi="Times New Roman" w:cs="Times New Roman"/>
          <w:b/>
          <w:smallCaps/>
          <w:sz w:val="24"/>
          <w:szCs w:val="24"/>
          <w:u w:val="single"/>
        </w:rPr>
        <w:t xml:space="preserve"> </w:t>
      </w:r>
      <w:r w:rsidR="00621064">
        <w:rPr>
          <w:rFonts w:ascii="Times New Roman" w:hAnsi="Times New Roman" w:cs="Times New Roman"/>
          <w:b/>
          <w:smallCaps/>
          <w:sz w:val="24"/>
          <w:szCs w:val="24"/>
          <w:u w:val="single"/>
        </w:rPr>
        <w:t xml:space="preserve">Policies covered in the 2017 country-specific recommendations </w:t>
      </w:r>
    </w:p>
    <w:p w:rsidR="00A52118" w:rsidRDefault="00A52118" w:rsidP="00AF1615">
      <w:pPr>
        <w:spacing w:after="60"/>
        <w:jc w:val="both"/>
        <w:outlineLvl w:val="0"/>
        <w:rPr>
          <w:rFonts w:ascii="Times New Roman" w:hAnsi="Times New Roman" w:cs="Times New Roman"/>
          <w:b/>
          <w:smallCaps/>
          <w:sz w:val="24"/>
          <w:szCs w:val="24"/>
          <w:u w:val="single"/>
        </w:rPr>
      </w:pPr>
    </w:p>
    <w:p w:rsidR="00621064" w:rsidRPr="002C3C7A" w:rsidRDefault="007627BE" w:rsidP="00AF1615">
      <w:pPr>
        <w:spacing w:after="60"/>
        <w:jc w:val="both"/>
        <w:outlineLvl w:val="0"/>
        <w:rPr>
          <w:rFonts w:ascii="Times New Roman" w:hAnsi="Times New Roman" w:cs="Times New Roman"/>
          <w:sz w:val="24"/>
          <w:szCs w:val="24"/>
          <w:lang w:eastAsia="en-GB"/>
        </w:rPr>
      </w:pPr>
      <w:r w:rsidRPr="007627BE">
        <w:rPr>
          <w:noProof/>
          <w:lang w:eastAsia="en-GB"/>
        </w:rPr>
        <w:drawing>
          <wp:inline distT="0" distB="0" distL="0" distR="0" wp14:anchorId="15396A51" wp14:editId="56B061E4">
            <wp:extent cx="9777730" cy="500318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77730" cy="5003182"/>
                    </a:xfrm>
                    <a:prstGeom prst="rect">
                      <a:avLst/>
                    </a:prstGeom>
                    <a:noFill/>
                    <a:ln>
                      <a:noFill/>
                    </a:ln>
                  </pic:spPr>
                </pic:pic>
              </a:graphicData>
            </a:graphic>
          </wp:inline>
        </w:drawing>
      </w:r>
    </w:p>
    <w:p w:rsidR="00E729AF" w:rsidRPr="002C3C7A" w:rsidRDefault="00E729AF" w:rsidP="00991AC3">
      <w:pPr>
        <w:jc w:val="both"/>
        <w:outlineLvl w:val="0"/>
        <w:rPr>
          <w:rFonts w:ascii="Times New Roman" w:hAnsi="Times New Roman" w:cs="Times New Roman"/>
          <w:sz w:val="24"/>
          <w:szCs w:val="24"/>
          <w:lang w:eastAsia="en-GB"/>
        </w:rPr>
      </w:pPr>
    </w:p>
    <w:p w:rsidR="00E729AF" w:rsidRPr="002C3C7A" w:rsidRDefault="00E729AF" w:rsidP="00991AC3">
      <w:pPr>
        <w:jc w:val="both"/>
        <w:rPr>
          <w:rFonts w:ascii="Times New Roman" w:hAnsi="Times New Roman" w:cs="Times New Roman"/>
          <w:sz w:val="24"/>
          <w:szCs w:val="24"/>
        </w:rPr>
        <w:sectPr w:rsidR="00E729AF" w:rsidRPr="002C3C7A">
          <w:headerReference w:type="even" r:id="rId26"/>
          <w:headerReference w:type="default" r:id="rId27"/>
          <w:footerReference w:type="even" r:id="rId28"/>
          <w:footerReference w:type="default" r:id="rId29"/>
          <w:headerReference w:type="first" r:id="rId30"/>
          <w:footerReference w:type="first" r:id="rId31"/>
          <w:pgSz w:w="16838" w:h="11906" w:orient="landscape"/>
          <w:pgMar w:top="567" w:right="720" w:bottom="567" w:left="720" w:header="709" w:footer="709" w:gutter="0"/>
          <w:cols w:space="708"/>
          <w:docGrid w:linePitch="360"/>
        </w:sectPr>
      </w:pPr>
    </w:p>
    <w:p w:rsidR="00E729AF" w:rsidRPr="002C3C7A" w:rsidRDefault="00E729AF" w:rsidP="00991AC3">
      <w:pPr>
        <w:spacing w:before="60" w:after="60"/>
        <w:jc w:val="both"/>
        <w:rPr>
          <w:rFonts w:ascii="Times New Roman" w:hAnsi="Times New Roman" w:cs="Times New Roman"/>
          <w:b/>
          <w:smallCaps/>
          <w:sz w:val="24"/>
          <w:szCs w:val="24"/>
          <w:lang w:eastAsia="en-GB"/>
        </w:rPr>
      </w:pPr>
      <w:r w:rsidRPr="002C3C7A">
        <w:rPr>
          <w:rFonts w:ascii="Times New Roman" w:hAnsi="Times New Roman" w:cs="Times New Roman"/>
          <w:b/>
          <w:smallCaps/>
          <w:sz w:val="24"/>
          <w:szCs w:val="24"/>
          <w:lang w:eastAsia="en-GB"/>
        </w:rPr>
        <w:lastRenderedPageBreak/>
        <w:t xml:space="preserve">Table 2 - Progress towards Europe 2020 </w:t>
      </w:r>
      <w:r w:rsidR="00140440">
        <w:rPr>
          <w:rFonts w:ascii="Times New Roman" w:hAnsi="Times New Roman" w:cs="Times New Roman"/>
          <w:b/>
          <w:smallCaps/>
          <w:sz w:val="24"/>
          <w:szCs w:val="24"/>
          <w:lang w:eastAsia="en-GB"/>
        </w:rPr>
        <w:t>S</w:t>
      </w:r>
      <w:r w:rsidRPr="002C3C7A">
        <w:rPr>
          <w:rFonts w:ascii="Times New Roman" w:hAnsi="Times New Roman" w:cs="Times New Roman"/>
          <w:b/>
          <w:smallCaps/>
          <w:sz w:val="24"/>
          <w:szCs w:val="24"/>
          <w:lang w:eastAsia="en-GB"/>
        </w:rPr>
        <w:t>trategy targets</w:t>
      </w:r>
    </w:p>
    <w:p w:rsidR="00E729AF" w:rsidRPr="002C3C7A" w:rsidRDefault="00E729AF" w:rsidP="00991AC3">
      <w:pPr>
        <w:spacing w:before="60" w:after="60"/>
        <w:jc w:val="both"/>
        <w:rPr>
          <w:rFonts w:ascii="Times New Roman" w:hAnsi="Times New Roman" w:cs="Times New Roman"/>
          <w:b/>
          <w:smallCaps/>
          <w:sz w:val="24"/>
          <w:szCs w:val="24"/>
          <w:lang w:eastAsia="en-GB"/>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802"/>
        <w:gridCol w:w="1701"/>
        <w:gridCol w:w="2268"/>
        <w:gridCol w:w="2517"/>
      </w:tblGrid>
      <w:tr w:rsidR="00E729AF" w:rsidRPr="002C3C7A" w:rsidTr="001342DD">
        <w:trPr>
          <w:jc w:val="center"/>
        </w:trPr>
        <w:tc>
          <w:tcPr>
            <w:tcW w:w="2802" w:type="dxa"/>
          </w:tcPr>
          <w:p w:rsidR="00E729AF" w:rsidRPr="002C3C7A" w:rsidRDefault="00E729AF" w:rsidP="00991AC3">
            <w:pPr>
              <w:jc w:val="both"/>
              <w:rPr>
                <w:rFonts w:ascii="Times New Roman" w:hAnsi="Times New Roman"/>
                <w:b/>
                <w:sz w:val="24"/>
                <w:szCs w:val="24"/>
              </w:rPr>
            </w:pPr>
            <w:r w:rsidRPr="002C3C7A">
              <w:rPr>
                <w:rFonts w:ascii="Times New Roman" w:hAnsi="Times New Roman"/>
                <w:b/>
                <w:sz w:val="24"/>
                <w:szCs w:val="24"/>
              </w:rPr>
              <w:t>Europe 2020 strategy targets for the EU</w:t>
            </w:r>
          </w:p>
        </w:tc>
        <w:tc>
          <w:tcPr>
            <w:tcW w:w="1701" w:type="dxa"/>
          </w:tcPr>
          <w:p w:rsidR="00E729AF" w:rsidRPr="002C3C7A" w:rsidRDefault="00E729AF" w:rsidP="00991AC3">
            <w:pPr>
              <w:jc w:val="both"/>
              <w:rPr>
                <w:rFonts w:ascii="Times New Roman" w:hAnsi="Times New Roman"/>
                <w:b/>
                <w:sz w:val="24"/>
                <w:szCs w:val="24"/>
              </w:rPr>
            </w:pPr>
            <w:r w:rsidRPr="002C3C7A">
              <w:rPr>
                <w:rFonts w:ascii="Times New Roman" w:hAnsi="Times New Roman"/>
                <w:b/>
                <w:sz w:val="24"/>
                <w:szCs w:val="24"/>
              </w:rPr>
              <w:t>2010 data</w:t>
            </w:r>
          </w:p>
        </w:tc>
        <w:tc>
          <w:tcPr>
            <w:tcW w:w="2268" w:type="dxa"/>
          </w:tcPr>
          <w:p w:rsidR="00E729AF" w:rsidRPr="002C3C7A" w:rsidRDefault="00E729AF" w:rsidP="00991AC3">
            <w:pPr>
              <w:jc w:val="both"/>
              <w:rPr>
                <w:rFonts w:ascii="Times New Roman" w:hAnsi="Times New Roman"/>
                <w:b/>
                <w:sz w:val="24"/>
                <w:szCs w:val="24"/>
              </w:rPr>
            </w:pPr>
            <w:r w:rsidRPr="002C3C7A">
              <w:rPr>
                <w:rFonts w:ascii="Times New Roman" w:hAnsi="Times New Roman"/>
                <w:b/>
                <w:sz w:val="24"/>
                <w:szCs w:val="24"/>
              </w:rPr>
              <w:t>Latest available data</w:t>
            </w:r>
          </w:p>
        </w:tc>
        <w:tc>
          <w:tcPr>
            <w:tcW w:w="2517" w:type="dxa"/>
          </w:tcPr>
          <w:p w:rsidR="00E729AF" w:rsidRPr="002C3C7A" w:rsidRDefault="00E729AF" w:rsidP="00991AC3">
            <w:pPr>
              <w:jc w:val="both"/>
              <w:rPr>
                <w:rFonts w:ascii="Times New Roman" w:hAnsi="Times New Roman"/>
                <w:b/>
                <w:sz w:val="24"/>
                <w:szCs w:val="24"/>
              </w:rPr>
            </w:pPr>
            <w:r w:rsidRPr="002C3C7A">
              <w:rPr>
                <w:rFonts w:ascii="Times New Roman" w:hAnsi="Times New Roman"/>
                <w:b/>
                <w:sz w:val="24"/>
                <w:szCs w:val="24"/>
              </w:rPr>
              <w:t>In 2020, based on recent trends</w:t>
            </w:r>
          </w:p>
        </w:tc>
      </w:tr>
      <w:tr w:rsidR="00E729AF" w:rsidRPr="002C3C7A" w:rsidTr="001342DD">
        <w:trPr>
          <w:jc w:val="center"/>
        </w:trPr>
        <w:tc>
          <w:tcPr>
            <w:tcW w:w="2802" w:type="dxa"/>
          </w:tcPr>
          <w:p w:rsidR="00E729AF" w:rsidRPr="002C3C7A" w:rsidRDefault="00E729AF" w:rsidP="00991AC3">
            <w:pPr>
              <w:jc w:val="both"/>
              <w:rPr>
                <w:rFonts w:ascii="Times New Roman" w:hAnsi="Times New Roman"/>
                <w:b/>
                <w:sz w:val="24"/>
                <w:szCs w:val="24"/>
              </w:rPr>
            </w:pPr>
            <w:r w:rsidRPr="002C3C7A">
              <w:rPr>
                <w:rFonts w:ascii="Times New Roman" w:hAnsi="Times New Roman"/>
                <w:sz w:val="24"/>
                <w:szCs w:val="24"/>
              </w:rPr>
              <w:t>1. Increasing the employment rate of the population aged 20-64 to at least 75%</w:t>
            </w:r>
          </w:p>
        </w:tc>
        <w:tc>
          <w:tcPr>
            <w:tcW w:w="1701" w:type="dxa"/>
          </w:tcPr>
          <w:p w:rsidR="00E729AF" w:rsidRPr="009347EE" w:rsidRDefault="00E729AF" w:rsidP="00991AC3">
            <w:pPr>
              <w:jc w:val="both"/>
              <w:rPr>
                <w:rFonts w:ascii="Times New Roman" w:hAnsi="Times New Roman"/>
                <w:sz w:val="24"/>
                <w:szCs w:val="24"/>
              </w:rPr>
            </w:pPr>
            <w:r w:rsidRPr="009347EE">
              <w:rPr>
                <w:rFonts w:ascii="Times New Roman" w:hAnsi="Times New Roman"/>
                <w:sz w:val="24"/>
                <w:szCs w:val="24"/>
              </w:rPr>
              <w:t>68.6%</w:t>
            </w:r>
          </w:p>
        </w:tc>
        <w:tc>
          <w:tcPr>
            <w:tcW w:w="2268" w:type="dxa"/>
          </w:tcPr>
          <w:p w:rsidR="00E729AF" w:rsidRPr="009347EE" w:rsidRDefault="00E729AF" w:rsidP="00476E05">
            <w:pPr>
              <w:jc w:val="both"/>
              <w:rPr>
                <w:rFonts w:ascii="Times New Roman" w:hAnsi="Times New Roman"/>
                <w:sz w:val="24"/>
                <w:szCs w:val="24"/>
              </w:rPr>
            </w:pPr>
            <w:r w:rsidRPr="009347EE">
              <w:rPr>
                <w:rFonts w:ascii="Times New Roman" w:hAnsi="Times New Roman"/>
                <w:sz w:val="24"/>
                <w:szCs w:val="24"/>
              </w:rPr>
              <w:br/>
              <w:t>7</w:t>
            </w:r>
            <w:r w:rsidR="00140440" w:rsidRPr="009347EE">
              <w:rPr>
                <w:rFonts w:ascii="Times New Roman" w:hAnsi="Times New Roman"/>
                <w:sz w:val="24"/>
                <w:szCs w:val="24"/>
              </w:rPr>
              <w:t>1</w:t>
            </w:r>
            <w:r w:rsidRPr="009347EE">
              <w:rPr>
                <w:rFonts w:ascii="Times New Roman" w:hAnsi="Times New Roman"/>
                <w:sz w:val="24"/>
                <w:szCs w:val="24"/>
              </w:rPr>
              <w:t>.1% (201</w:t>
            </w:r>
            <w:r w:rsidR="00140440" w:rsidRPr="009347EE">
              <w:rPr>
                <w:rFonts w:ascii="Times New Roman" w:hAnsi="Times New Roman"/>
                <w:sz w:val="24"/>
                <w:szCs w:val="24"/>
              </w:rPr>
              <w:t>6</w:t>
            </w:r>
            <w:r w:rsidRPr="009347EE">
              <w:rPr>
                <w:rFonts w:ascii="Times New Roman" w:hAnsi="Times New Roman"/>
                <w:sz w:val="24"/>
                <w:szCs w:val="24"/>
              </w:rPr>
              <w:t>)</w:t>
            </w:r>
          </w:p>
        </w:tc>
        <w:tc>
          <w:tcPr>
            <w:tcW w:w="2517" w:type="dxa"/>
          </w:tcPr>
          <w:p w:rsidR="00E729AF" w:rsidRPr="009347EE" w:rsidRDefault="00E729AF">
            <w:pPr>
              <w:jc w:val="both"/>
              <w:rPr>
                <w:rFonts w:ascii="Times New Roman" w:hAnsi="Times New Roman"/>
                <w:sz w:val="24"/>
                <w:szCs w:val="24"/>
              </w:rPr>
            </w:pPr>
            <w:r w:rsidRPr="009347EE">
              <w:rPr>
                <w:rFonts w:ascii="Times New Roman" w:hAnsi="Times New Roman"/>
                <w:sz w:val="24"/>
                <w:szCs w:val="24"/>
              </w:rPr>
              <w:t xml:space="preserve">Target </w:t>
            </w:r>
            <w:r w:rsidR="00140440" w:rsidRPr="009347EE">
              <w:rPr>
                <w:rFonts w:ascii="Times New Roman" w:hAnsi="Times New Roman"/>
                <w:sz w:val="24"/>
                <w:szCs w:val="24"/>
              </w:rPr>
              <w:t>likely</w:t>
            </w:r>
            <w:r w:rsidRPr="009347EE">
              <w:rPr>
                <w:rFonts w:ascii="Times New Roman" w:hAnsi="Times New Roman"/>
                <w:sz w:val="24"/>
                <w:szCs w:val="24"/>
              </w:rPr>
              <w:t xml:space="preserve"> to be met</w:t>
            </w:r>
          </w:p>
        </w:tc>
      </w:tr>
      <w:tr w:rsidR="00E729AF" w:rsidRPr="002C3C7A" w:rsidTr="001342DD">
        <w:trPr>
          <w:jc w:val="center"/>
        </w:trPr>
        <w:tc>
          <w:tcPr>
            <w:tcW w:w="2802" w:type="dxa"/>
          </w:tcPr>
          <w:p w:rsidR="00E729AF" w:rsidRPr="002C3C7A" w:rsidRDefault="00E729AF" w:rsidP="00991AC3">
            <w:pPr>
              <w:jc w:val="both"/>
              <w:rPr>
                <w:rFonts w:ascii="Times New Roman" w:hAnsi="Times New Roman"/>
                <w:b/>
                <w:sz w:val="24"/>
                <w:szCs w:val="24"/>
              </w:rPr>
            </w:pPr>
            <w:r w:rsidRPr="002C3C7A">
              <w:rPr>
                <w:rFonts w:ascii="Times New Roman" w:hAnsi="Times New Roman"/>
                <w:sz w:val="24"/>
                <w:szCs w:val="24"/>
              </w:rPr>
              <w:t>2. Increasing combined public and private investment in R&amp;D to 3% of GDP</w:t>
            </w:r>
          </w:p>
        </w:tc>
        <w:tc>
          <w:tcPr>
            <w:tcW w:w="1701" w:type="dxa"/>
          </w:tcPr>
          <w:p w:rsidR="00E729AF" w:rsidRPr="009347EE" w:rsidRDefault="00E729AF" w:rsidP="00991AC3">
            <w:pPr>
              <w:jc w:val="both"/>
              <w:rPr>
                <w:rFonts w:ascii="Times New Roman" w:hAnsi="Times New Roman"/>
                <w:sz w:val="24"/>
                <w:szCs w:val="24"/>
              </w:rPr>
            </w:pPr>
            <w:r w:rsidRPr="009347EE">
              <w:rPr>
                <w:rFonts w:ascii="Times New Roman" w:hAnsi="Times New Roman"/>
                <w:sz w:val="24"/>
                <w:szCs w:val="24"/>
              </w:rPr>
              <w:t>1.93%</w:t>
            </w:r>
          </w:p>
        </w:tc>
        <w:tc>
          <w:tcPr>
            <w:tcW w:w="2268" w:type="dxa"/>
          </w:tcPr>
          <w:p w:rsidR="00E729AF" w:rsidRPr="009347EE" w:rsidRDefault="00E729AF">
            <w:pPr>
              <w:jc w:val="both"/>
              <w:rPr>
                <w:rFonts w:ascii="Times New Roman" w:hAnsi="Times New Roman"/>
                <w:sz w:val="24"/>
                <w:szCs w:val="24"/>
              </w:rPr>
            </w:pPr>
            <w:r w:rsidRPr="009347EE">
              <w:rPr>
                <w:rFonts w:ascii="Times New Roman" w:hAnsi="Times New Roman"/>
                <w:sz w:val="24"/>
                <w:szCs w:val="24"/>
              </w:rPr>
              <w:t>2.03% (201</w:t>
            </w:r>
            <w:r w:rsidR="00140440" w:rsidRPr="009347EE">
              <w:rPr>
                <w:rFonts w:ascii="Times New Roman" w:hAnsi="Times New Roman"/>
                <w:sz w:val="24"/>
                <w:szCs w:val="24"/>
              </w:rPr>
              <w:t>5</w:t>
            </w:r>
            <w:r w:rsidRPr="009347EE">
              <w:rPr>
                <w:rFonts w:ascii="Times New Roman" w:hAnsi="Times New Roman"/>
                <w:sz w:val="24"/>
                <w:szCs w:val="24"/>
              </w:rPr>
              <w:t>)</w:t>
            </w:r>
          </w:p>
        </w:tc>
        <w:tc>
          <w:tcPr>
            <w:tcW w:w="2517" w:type="dxa"/>
          </w:tcPr>
          <w:p w:rsidR="00E729AF" w:rsidRPr="009347EE" w:rsidRDefault="00E729AF" w:rsidP="00991AC3">
            <w:pPr>
              <w:jc w:val="both"/>
              <w:rPr>
                <w:rFonts w:ascii="Times New Roman" w:hAnsi="Times New Roman"/>
                <w:sz w:val="24"/>
                <w:szCs w:val="24"/>
              </w:rPr>
            </w:pPr>
            <w:r w:rsidRPr="009347EE">
              <w:rPr>
                <w:rFonts w:ascii="Times New Roman" w:hAnsi="Times New Roman"/>
                <w:sz w:val="24"/>
                <w:szCs w:val="24"/>
              </w:rPr>
              <w:t>Target unlikely to be met</w:t>
            </w:r>
          </w:p>
        </w:tc>
      </w:tr>
      <w:tr w:rsidR="00E729AF" w:rsidRPr="002C3C7A" w:rsidTr="001342DD">
        <w:trPr>
          <w:jc w:val="center"/>
        </w:trPr>
        <w:tc>
          <w:tcPr>
            <w:tcW w:w="2802" w:type="dxa"/>
          </w:tcPr>
          <w:p w:rsidR="00E729AF" w:rsidRPr="002C3C7A" w:rsidRDefault="00E729AF" w:rsidP="00991AC3">
            <w:pPr>
              <w:jc w:val="both"/>
              <w:rPr>
                <w:rFonts w:ascii="Times New Roman" w:hAnsi="Times New Roman"/>
                <w:b/>
                <w:sz w:val="24"/>
                <w:szCs w:val="24"/>
              </w:rPr>
            </w:pPr>
            <w:r w:rsidRPr="002C3C7A">
              <w:rPr>
                <w:rFonts w:ascii="Times New Roman" w:hAnsi="Times New Roman"/>
                <w:sz w:val="24"/>
                <w:szCs w:val="24"/>
              </w:rPr>
              <w:t>3a. Reducing greenhouse gas emissions by at least 20% compared to 1990 levels</w:t>
            </w:r>
          </w:p>
        </w:tc>
        <w:tc>
          <w:tcPr>
            <w:tcW w:w="1701" w:type="dxa"/>
          </w:tcPr>
          <w:p w:rsidR="00E729AF" w:rsidRPr="009347EE" w:rsidRDefault="00E729AF">
            <w:pPr>
              <w:jc w:val="both"/>
              <w:rPr>
                <w:rFonts w:ascii="Times New Roman" w:hAnsi="Times New Roman"/>
                <w:sz w:val="24"/>
                <w:szCs w:val="24"/>
              </w:rPr>
            </w:pPr>
            <w:r w:rsidRPr="009347EE">
              <w:rPr>
                <w:rFonts w:ascii="Times New Roman" w:hAnsi="Times New Roman"/>
                <w:sz w:val="24"/>
                <w:szCs w:val="24"/>
              </w:rPr>
              <w:t>14% reduction</w:t>
            </w:r>
          </w:p>
        </w:tc>
        <w:tc>
          <w:tcPr>
            <w:tcW w:w="2268" w:type="dxa"/>
          </w:tcPr>
          <w:p w:rsidR="00E729AF" w:rsidRPr="009347EE" w:rsidRDefault="00E729AF">
            <w:pPr>
              <w:jc w:val="both"/>
              <w:rPr>
                <w:rFonts w:ascii="Times New Roman" w:hAnsi="Times New Roman"/>
                <w:sz w:val="24"/>
                <w:szCs w:val="24"/>
              </w:rPr>
            </w:pPr>
            <w:r w:rsidRPr="009347EE">
              <w:rPr>
                <w:rFonts w:ascii="Times New Roman" w:hAnsi="Times New Roman"/>
                <w:sz w:val="24"/>
                <w:szCs w:val="24"/>
              </w:rPr>
              <w:t>2</w:t>
            </w:r>
            <w:r w:rsidR="00140440" w:rsidRPr="009347EE">
              <w:rPr>
                <w:rFonts w:ascii="Times New Roman" w:hAnsi="Times New Roman"/>
                <w:sz w:val="24"/>
                <w:szCs w:val="24"/>
              </w:rPr>
              <w:t>2</w:t>
            </w:r>
            <w:r w:rsidRPr="009347EE">
              <w:rPr>
                <w:rFonts w:ascii="Times New Roman" w:hAnsi="Times New Roman"/>
                <w:sz w:val="24"/>
                <w:szCs w:val="24"/>
              </w:rPr>
              <w:t>% reduction (201</w:t>
            </w:r>
            <w:r w:rsidR="00140440" w:rsidRPr="009347EE">
              <w:rPr>
                <w:rFonts w:ascii="Times New Roman" w:hAnsi="Times New Roman"/>
                <w:sz w:val="24"/>
                <w:szCs w:val="24"/>
              </w:rPr>
              <w:t>5</w:t>
            </w:r>
            <w:r w:rsidRPr="009347EE">
              <w:rPr>
                <w:rFonts w:ascii="Times New Roman" w:hAnsi="Times New Roman"/>
                <w:sz w:val="24"/>
                <w:szCs w:val="24"/>
              </w:rPr>
              <w:t>)</w:t>
            </w:r>
          </w:p>
        </w:tc>
        <w:tc>
          <w:tcPr>
            <w:tcW w:w="2517" w:type="dxa"/>
          </w:tcPr>
          <w:p w:rsidR="00E729AF" w:rsidRPr="009347EE" w:rsidRDefault="00E729AF" w:rsidP="00991AC3">
            <w:pPr>
              <w:jc w:val="both"/>
              <w:rPr>
                <w:rFonts w:ascii="Times New Roman" w:hAnsi="Times New Roman"/>
                <w:sz w:val="24"/>
                <w:szCs w:val="24"/>
              </w:rPr>
            </w:pPr>
            <w:r w:rsidRPr="009347EE">
              <w:rPr>
                <w:rFonts w:ascii="Times New Roman" w:hAnsi="Times New Roman"/>
                <w:sz w:val="24"/>
                <w:szCs w:val="24"/>
              </w:rPr>
              <w:t>Target likely to be met</w:t>
            </w:r>
          </w:p>
        </w:tc>
      </w:tr>
      <w:tr w:rsidR="00E729AF" w:rsidRPr="002C3C7A" w:rsidTr="001342DD">
        <w:trPr>
          <w:jc w:val="center"/>
        </w:trPr>
        <w:tc>
          <w:tcPr>
            <w:tcW w:w="2802" w:type="dxa"/>
          </w:tcPr>
          <w:p w:rsidR="00E729AF" w:rsidRPr="002C3C7A" w:rsidRDefault="00E729AF" w:rsidP="00991AC3">
            <w:pPr>
              <w:jc w:val="both"/>
              <w:rPr>
                <w:rFonts w:ascii="Times New Roman" w:hAnsi="Times New Roman"/>
                <w:b/>
                <w:sz w:val="24"/>
                <w:szCs w:val="24"/>
              </w:rPr>
            </w:pPr>
            <w:r w:rsidRPr="002C3C7A">
              <w:rPr>
                <w:rFonts w:ascii="Times New Roman" w:hAnsi="Times New Roman"/>
                <w:sz w:val="24"/>
                <w:szCs w:val="24"/>
              </w:rPr>
              <w:t>3b. Increasing the share of renewable energy in final energy consumption to 20%</w:t>
            </w:r>
          </w:p>
        </w:tc>
        <w:tc>
          <w:tcPr>
            <w:tcW w:w="1701" w:type="dxa"/>
          </w:tcPr>
          <w:p w:rsidR="00E729AF" w:rsidRPr="009347EE" w:rsidRDefault="00E729AF">
            <w:pPr>
              <w:jc w:val="both"/>
              <w:rPr>
                <w:rFonts w:ascii="Times New Roman" w:hAnsi="Times New Roman"/>
                <w:sz w:val="24"/>
                <w:szCs w:val="24"/>
              </w:rPr>
            </w:pPr>
            <w:r w:rsidRPr="009347EE">
              <w:rPr>
                <w:rFonts w:ascii="Times New Roman" w:hAnsi="Times New Roman"/>
                <w:sz w:val="24"/>
                <w:szCs w:val="24"/>
              </w:rPr>
              <w:t>12.</w:t>
            </w:r>
            <w:r w:rsidR="00140440" w:rsidRPr="009347EE">
              <w:rPr>
                <w:rFonts w:ascii="Times New Roman" w:hAnsi="Times New Roman"/>
                <w:sz w:val="24"/>
                <w:szCs w:val="24"/>
              </w:rPr>
              <w:t>9</w:t>
            </w:r>
            <w:r w:rsidRPr="009347EE">
              <w:rPr>
                <w:rFonts w:ascii="Times New Roman" w:hAnsi="Times New Roman"/>
                <w:sz w:val="24"/>
                <w:szCs w:val="24"/>
              </w:rPr>
              <w:t>%</w:t>
            </w:r>
          </w:p>
        </w:tc>
        <w:tc>
          <w:tcPr>
            <w:tcW w:w="2268" w:type="dxa"/>
          </w:tcPr>
          <w:p w:rsidR="00E729AF" w:rsidRPr="009347EE" w:rsidRDefault="00E729AF">
            <w:pPr>
              <w:jc w:val="both"/>
              <w:rPr>
                <w:rFonts w:ascii="Times New Roman" w:hAnsi="Times New Roman"/>
                <w:sz w:val="24"/>
                <w:szCs w:val="24"/>
              </w:rPr>
            </w:pPr>
            <w:r w:rsidRPr="009347EE">
              <w:rPr>
                <w:rFonts w:ascii="Times New Roman" w:hAnsi="Times New Roman"/>
                <w:sz w:val="24"/>
                <w:szCs w:val="24"/>
              </w:rPr>
              <w:t>16</w:t>
            </w:r>
            <w:r w:rsidR="00140440" w:rsidRPr="009347EE">
              <w:rPr>
                <w:rFonts w:ascii="Times New Roman" w:hAnsi="Times New Roman"/>
                <w:sz w:val="24"/>
                <w:szCs w:val="24"/>
              </w:rPr>
              <w:t>.7</w:t>
            </w:r>
            <w:r w:rsidRPr="009347EE">
              <w:rPr>
                <w:rFonts w:ascii="Times New Roman" w:hAnsi="Times New Roman"/>
                <w:sz w:val="24"/>
                <w:szCs w:val="24"/>
              </w:rPr>
              <w:t>% (201</w:t>
            </w:r>
            <w:r w:rsidR="00140440" w:rsidRPr="009347EE">
              <w:rPr>
                <w:rFonts w:ascii="Times New Roman" w:hAnsi="Times New Roman"/>
                <w:sz w:val="24"/>
                <w:szCs w:val="24"/>
              </w:rPr>
              <w:t>5</w:t>
            </w:r>
            <w:r w:rsidRPr="009347EE">
              <w:rPr>
                <w:rFonts w:ascii="Times New Roman" w:hAnsi="Times New Roman"/>
                <w:sz w:val="24"/>
                <w:szCs w:val="24"/>
              </w:rPr>
              <w:t>)</w:t>
            </w:r>
          </w:p>
        </w:tc>
        <w:tc>
          <w:tcPr>
            <w:tcW w:w="2517" w:type="dxa"/>
          </w:tcPr>
          <w:p w:rsidR="00E729AF" w:rsidRPr="009347EE" w:rsidRDefault="00E729AF" w:rsidP="00991AC3">
            <w:pPr>
              <w:jc w:val="both"/>
              <w:rPr>
                <w:rFonts w:ascii="Times New Roman" w:hAnsi="Times New Roman"/>
                <w:sz w:val="24"/>
                <w:szCs w:val="24"/>
              </w:rPr>
            </w:pPr>
            <w:r w:rsidRPr="009347EE">
              <w:rPr>
                <w:rFonts w:ascii="Times New Roman" w:hAnsi="Times New Roman"/>
                <w:sz w:val="24"/>
                <w:szCs w:val="24"/>
              </w:rPr>
              <w:t>Target likely to be met</w:t>
            </w:r>
          </w:p>
        </w:tc>
      </w:tr>
      <w:tr w:rsidR="00E729AF" w:rsidRPr="002C3C7A" w:rsidTr="001342DD">
        <w:trPr>
          <w:jc w:val="center"/>
        </w:trPr>
        <w:tc>
          <w:tcPr>
            <w:tcW w:w="2802" w:type="dxa"/>
          </w:tcPr>
          <w:p w:rsidR="00E729AF" w:rsidRPr="002C3C7A" w:rsidRDefault="00E729AF">
            <w:pPr>
              <w:jc w:val="both"/>
              <w:rPr>
                <w:rFonts w:ascii="Times New Roman" w:hAnsi="Times New Roman"/>
                <w:b/>
                <w:sz w:val="24"/>
                <w:szCs w:val="24"/>
              </w:rPr>
            </w:pPr>
            <w:r w:rsidRPr="002C3C7A">
              <w:rPr>
                <w:rFonts w:ascii="Times New Roman" w:hAnsi="Times New Roman"/>
                <w:sz w:val="24"/>
                <w:szCs w:val="24"/>
              </w:rPr>
              <w:t>3c.</w:t>
            </w:r>
            <w:r w:rsidR="00140440">
              <w:rPr>
                <w:rFonts w:ascii="Times New Roman" w:hAnsi="Times New Roman"/>
                <w:sz w:val="24"/>
                <w:szCs w:val="24"/>
              </w:rPr>
              <w:t xml:space="preserve"> </w:t>
            </w:r>
            <w:r w:rsidRPr="002C3C7A">
              <w:rPr>
                <w:rFonts w:ascii="Times New Roman" w:hAnsi="Times New Roman"/>
                <w:sz w:val="24"/>
                <w:szCs w:val="24"/>
              </w:rPr>
              <w:t>Moving towards a 20% increase in energy efficiency</w:t>
            </w:r>
            <w:r w:rsidR="00140440">
              <w:rPr>
                <w:rFonts w:ascii="Times New Roman" w:hAnsi="Times New Roman"/>
                <w:sz w:val="24"/>
                <w:szCs w:val="24"/>
              </w:rPr>
              <w:t xml:space="preserve"> (i.e. a primary energy consumption target of 1483 Mtoe)</w:t>
            </w:r>
          </w:p>
        </w:tc>
        <w:tc>
          <w:tcPr>
            <w:tcW w:w="1701" w:type="dxa"/>
          </w:tcPr>
          <w:p w:rsidR="00E729AF" w:rsidRPr="009347EE" w:rsidRDefault="00140440">
            <w:pPr>
              <w:jc w:val="both"/>
              <w:rPr>
                <w:rFonts w:ascii="Times New Roman" w:hAnsi="Times New Roman"/>
                <w:sz w:val="24"/>
                <w:szCs w:val="24"/>
              </w:rPr>
            </w:pPr>
            <w:r w:rsidRPr="009347EE">
              <w:rPr>
                <w:rFonts w:ascii="Times New Roman" w:hAnsi="Times New Roman"/>
                <w:sz w:val="24"/>
                <w:szCs w:val="24"/>
              </w:rPr>
              <w:t>11.7</w:t>
            </w:r>
            <w:r w:rsidR="00E729AF" w:rsidRPr="009347EE">
              <w:rPr>
                <w:rFonts w:ascii="Times New Roman" w:hAnsi="Times New Roman"/>
                <w:sz w:val="24"/>
                <w:szCs w:val="24"/>
              </w:rPr>
              <w:t>%</w:t>
            </w:r>
            <w:r w:rsidRPr="009347EE">
              <w:rPr>
                <w:rFonts w:ascii="Times New Roman" w:hAnsi="Times New Roman"/>
                <w:sz w:val="24"/>
                <w:szCs w:val="24"/>
              </w:rPr>
              <w:t xml:space="preserve"> above the </w:t>
            </w:r>
            <w:r w:rsidR="00E729AF" w:rsidRPr="009347EE">
              <w:rPr>
                <w:rFonts w:ascii="Times New Roman" w:hAnsi="Times New Roman"/>
                <w:sz w:val="24"/>
                <w:szCs w:val="24"/>
              </w:rPr>
              <w:t>primary energy consumption</w:t>
            </w:r>
            <w:r w:rsidRPr="009347EE">
              <w:rPr>
                <w:rFonts w:ascii="Times New Roman" w:hAnsi="Times New Roman"/>
                <w:sz w:val="24"/>
                <w:szCs w:val="24"/>
              </w:rPr>
              <w:t xml:space="preserve"> target of 1483 Mtoe</w:t>
            </w:r>
          </w:p>
        </w:tc>
        <w:tc>
          <w:tcPr>
            <w:tcW w:w="2268" w:type="dxa"/>
          </w:tcPr>
          <w:p w:rsidR="00E729AF" w:rsidRPr="009347EE" w:rsidRDefault="00140440">
            <w:pPr>
              <w:jc w:val="both"/>
              <w:rPr>
                <w:rFonts w:ascii="Times New Roman" w:hAnsi="Times New Roman"/>
                <w:sz w:val="24"/>
                <w:szCs w:val="24"/>
              </w:rPr>
            </w:pPr>
            <w:r w:rsidRPr="009347EE">
              <w:rPr>
                <w:rFonts w:ascii="Times New Roman" w:hAnsi="Times New Roman"/>
                <w:sz w:val="24"/>
                <w:szCs w:val="24"/>
              </w:rPr>
              <w:t>3.1</w:t>
            </w:r>
            <w:r w:rsidR="00E729AF" w:rsidRPr="009347EE">
              <w:rPr>
                <w:rFonts w:ascii="Times New Roman" w:hAnsi="Times New Roman"/>
                <w:sz w:val="24"/>
                <w:szCs w:val="24"/>
              </w:rPr>
              <w:t xml:space="preserve">% </w:t>
            </w:r>
            <w:r w:rsidRPr="009347EE">
              <w:rPr>
                <w:rFonts w:ascii="Times New Roman" w:hAnsi="Times New Roman"/>
                <w:sz w:val="24"/>
                <w:szCs w:val="24"/>
              </w:rPr>
              <w:t>above the primary energy consumption target of 1483 Mtoe</w:t>
            </w:r>
            <w:r w:rsidR="00E729AF" w:rsidRPr="009347EE">
              <w:rPr>
                <w:rFonts w:ascii="Times New Roman" w:hAnsi="Times New Roman"/>
                <w:sz w:val="24"/>
                <w:szCs w:val="24"/>
              </w:rPr>
              <w:t xml:space="preserve"> (201</w:t>
            </w:r>
            <w:r w:rsidRPr="009347EE">
              <w:rPr>
                <w:rFonts w:ascii="Times New Roman" w:hAnsi="Times New Roman"/>
                <w:sz w:val="24"/>
                <w:szCs w:val="24"/>
              </w:rPr>
              <w:t>5</w:t>
            </w:r>
            <w:r w:rsidR="00E729AF" w:rsidRPr="009347EE">
              <w:rPr>
                <w:rFonts w:ascii="Times New Roman" w:hAnsi="Times New Roman"/>
                <w:sz w:val="24"/>
                <w:szCs w:val="24"/>
              </w:rPr>
              <w:t>)</w:t>
            </w:r>
          </w:p>
        </w:tc>
        <w:tc>
          <w:tcPr>
            <w:tcW w:w="2517" w:type="dxa"/>
          </w:tcPr>
          <w:p w:rsidR="00E729AF" w:rsidRPr="009347EE" w:rsidRDefault="00E729AF" w:rsidP="00991AC3">
            <w:pPr>
              <w:jc w:val="both"/>
              <w:rPr>
                <w:rFonts w:ascii="Times New Roman" w:hAnsi="Times New Roman"/>
                <w:sz w:val="24"/>
                <w:szCs w:val="24"/>
              </w:rPr>
            </w:pPr>
            <w:r w:rsidRPr="009347EE">
              <w:rPr>
                <w:rFonts w:ascii="Times New Roman" w:hAnsi="Times New Roman"/>
                <w:sz w:val="24"/>
                <w:szCs w:val="24"/>
              </w:rPr>
              <w:t>Target likely to be met</w:t>
            </w:r>
          </w:p>
        </w:tc>
      </w:tr>
      <w:tr w:rsidR="00E729AF" w:rsidRPr="002C3C7A" w:rsidTr="001342DD">
        <w:trPr>
          <w:jc w:val="center"/>
        </w:trPr>
        <w:tc>
          <w:tcPr>
            <w:tcW w:w="2802" w:type="dxa"/>
          </w:tcPr>
          <w:p w:rsidR="00E729AF" w:rsidRPr="002C3C7A" w:rsidRDefault="00E729AF" w:rsidP="00991AC3">
            <w:pPr>
              <w:jc w:val="both"/>
              <w:rPr>
                <w:rFonts w:ascii="Times New Roman" w:hAnsi="Times New Roman"/>
                <w:b/>
                <w:sz w:val="24"/>
                <w:szCs w:val="24"/>
              </w:rPr>
            </w:pPr>
            <w:r w:rsidRPr="002C3C7A">
              <w:rPr>
                <w:rFonts w:ascii="Times New Roman" w:hAnsi="Times New Roman"/>
                <w:sz w:val="24"/>
                <w:szCs w:val="24"/>
              </w:rPr>
              <w:t>4a. Reducing school drop-out rates to less than 10%</w:t>
            </w:r>
          </w:p>
        </w:tc>
        <w:tc>
          <w:tcPr>
            <w:tcW w:w="1701" w:type="dxa"/>
          </w:tcPr>
          <w:p w:rsidR="00E729AF" w:rsidRPr="009347EE" w:rsidRDefault="00E729AF" w:rsidP="00991AC3">
            <w:pPr>
              <w:jc w:val="both"/>
              <w:rPr>
                <w:rFonts w:ascii="Times New Roman" w:hAnsi="Times New Roman"/>
                <w:sz w:val="24"/>
                <w:szCs w:val="24"/>
              </w:rPr>
            </w:pPr>
            <w:r w:rsidRPr="009347EE">
              <w:rPr>
                <w:rFonts w:ascii="Times New Roman" w:hAnsi="Times New Roman"/>
                <w:sz w:val="24"/>
                <w:szCs w:val="24"/>
              </w:rPr>
              <w:t>13.9%</w:t>
            </w:r>
          </w:p>
        </w:tc>
        <w:tc>
          <w:tcPr>
            <w:tcW w:w="2268" w:type="dxa"/>
          </w:tcPr>
          <w:p w:rsidR="00E729AF" w:rsidRPr="009347EE" w:rsidRDefault="00476E05">
            <w:pPr>
              <w:jc w:val="both"/>
              <w:rPr>
                <w:rFonts w:ascii="Times New Roman" w:hAnsi="Times New Roman"/>
                <w:sz w:val="24"/>
                <w:szCs w:val="24"/>
              </w:rPr>
            </w:pPr>
            <w:r w:rsidRPr="009347EE">
              <w:rPr>
                <w:rFonts w:ascii="Times New Roman" w:hAnsi="Times New Roman"/>
                <w:sz w:val="24"/>
                <w:szCs w:val="24"/>
              </w:rPr>
              <w:t>10.7</w:t>
            </w:r>
            <w:r w:rsidR="00E729AF" w:rsidRPr="009347EE">
              <w:rPr>
                <w:rFonts w:ascii="Times New Roman" w:hAnsi="Times New Roman"/>
                <w:sz w:val="24"/>
                <w:szCs w:val="24"/>
              </w:rPr>
              <w:t>% (201</w:t>
            </w:r>
            <w:r w:rsidRPr="009347EE">
              <w:rPr>
                <w:rFonts w:ascii="Times New Roman" w:hAnsi="Times New Roman"/>
                <w:sz w:val="24"/>
                <w:szCs w:val="24"/>
              </w:rPr>
              <w:t>6</w:t>
            </w:r>
            <w:r w:rsidR="00E729AF" w:rsidRPr="009347EE">
              <w:rPr>
                <w:rFonts w:ascii="Times New Roman" w:hAnsi="Times New Roman"/>
                <w:sz w:val="24"/>
                <w:szCs w:val="24"/>
              </w:rPr>
              <w:t>)</w:t>
            </w:r>
          </w:p>
        </w:tc>
        <w:tc>
          <w:tcPr>
            <w:tcW w:w="2517" w:type="dxa"/>
          </w:tcPr>
          <w:p w:rsidR="00E729AF" w:rsidRPr="009347EE" w:rsidRDefault="00E729AF" w:rsidP="00991AC3">
            <w:pPr>
              <w:jc w:val="both"/>
              <w:rPr>
                <w:rFonts w:ascii="Times New Roman" w:hAnsi="Times New Roman"/>
                <w:sz w:val="24"/>
                <w:szCs w:val="24"/>
              </w:rPr>
            </w:pPr>
            <w:r w:rsidRPr="009347EE">
              <w:rPr>
                <w:rFonts w:ascii="Times New Roman" w:hAnsi="Times New Roman"/>
                <w:sz w:val="24"/>
                <w:szCs w:val="24"/>
              </w:rPr>
              <w:t>Target likely to be met</w:t>
            </w:r>
          </w:p>
        </w:tc>
      </w:tr>
      <w:tr w:rsidR="00E729AF" w:rsidRPr="002C3C7A" w:rsidTr="001342DD">
        <w:trPr>
          <w:jc w:val="center"/>
        </w:trPr>
        <w:tc>
          <w:tcPr>
            <w:tcW w:w="2802" w:type="dxa"/>
          </w:tcPr>
          <w:p w:rsidR="00E729AF" w:rsidRPr="002C3C7A" w:rsidRDefault="00E729AF" w:rsidP="00991AC3">
            <w:pPr>
              <w:jc w:val="both"/>
              <w:rPr>
                <w:rFonts w:ascii="Times New Roman" w:hAnsi="Times New Roman"/>
                <w:b/>
                <w:sz w:val="24"/>
                <w:szCs w:val="24"/>
              </w:rPr>
            </w:pPr>
            <w:r w:rsidRPr="002C3C7A">
              <w:rPr>
                <w:rFonts w:ascii="Times New Roman" w:hAnsi="Times New Roman"/>
                <w:sz w:val="24"/>
                <w:szCs w:val="24"/>
              </w:rPr>
              <w:t>4b. Increasing the share of the population aged 30-34 having completed tertiary education to at least 40%</w:t>
            </w:r>
          </w:p>
        </w:tc>
        <w:tc>
          <w:tcPr>
            <w:tcW w:w="1701" w:type="dxa"/>
          </w:tcPr>
          <w:p w:rsidR="00E729AF" w:rsidRPr="009347EE" w:rsidRDefault="00E729AF" w:rsidP="00991AC3">
            <w:pPr>
              <w:jc w:val="both"/>
              <w:rPr>
                <w:rFonts w:ascii="Times New Roman" w:hAnsi="Times New Roman"/>
                <w:sz w:val="24"/>
                <w:szCs w:val="24"/>
              </w:rPr>
            </w:pPr>
            <w:r w:rsidRPr="009347EE">
              <w:rPr>
                <w:rFonts w:ascii="Times New Roman" w:hAnsi="Times New Roman"/>
                <w:sz w:val="24"/>
                <w:szCs w:val="24"/>
              </w:rPr>
              <w:t>33.8%</w:t>
            </w:r>
          </w:p>
        </w:tc>
        <w:tc>
          <w:tcPr>
            <w:tcW w:w="2268" w:type="dxa"/>
          </w:tcPr>
          <w:p w:rsidR="00E729AF" w:rsidRPr="009347EE" w:rsidRDefault="00476E05">
            <w:pPr>
              <w:jc w:val="both"/>
              <w:rPr>
                <w:rFonts w:ascii="Times New Roman" w:hAnsi="Times New Roman"/>
                <w:sz w:val="24"/>
                <w:szCs w:val="24"/>
              </w:rPr>
            </w:pPr>
            <w:r w:rsidRPr="009347EE">
              <w:rPr>
                <w:rFonts w:ascii="Times New Roman" w:hAnsi="Times New Roman"/>
                <w:sz w:val="24"/>
                <w:szCs w:val="24"/>
              </w:rPr>
              <w:t>39.1</w:t>
            </w:r>
            <w:r w:rsidR="00E729AF" w:rsidRPr="009347EE">
              <w:rPr>
                <w:rFonts w:ascii="Times New Roman" w:hAnsi="Times New Roman"/>
                <w:sz w:val="24"/>
                <w:szCs w:val="24"/>
              </w:rPr>
              <w:t>% (201</w:t>
            </w:r>
            <w:r w:rsidRPr="009347EE">
              <w:rPr>
                <w:rFonts w:ascii="Times New Roman" w:hAnsi="Times New Roman"/>
                <w:sz w:val="24"/>
                <w:szCs w:val="24"/>
              </w:rPr>
              <w:t>6</w:t>
            </w:r>
            <w:r w:rsidR="00E729AF" w:rsidRPr="009347EE">
              <w:rPr>
                <w:rFonts w:ascii="Times New Roman" w:hAnsi="Times New Roman"/>
                <w:sz w:val="24"/>
                <w:szCs w:val="24"/>
              </w:rPr>
              <w:t>)</w:t>
            </w:r>
          </w:p>
        </w:tc>
        <w:tc>
          <w:tcPr>
            <w:tcW w:w="2517" w:type="dxa"/>
          </w:tcPr>
          <w:p w:rsidR="00E729AF" w:rsidRPr="009347EE" w:rsidRDefault="00E729AF" w:rsidP="00991AC3">
            <w:pPr>
              <w:jc w:val="both"/>
              <w:rPr>
                <w:rFonts w:ascii="Times New Roman" w:hAnsi="Times New Roman"/>
                <w:sz w:val="24"/>
                <w:szCs w:val="24"/>
              </w:rPr>
            </w:pPr>
            <w:r w:rsidRPr="009347EE">
              <w:rPr>
                <w:rFonts w:ascii="Times New Roman" w:hAnsi="Times New Roman"/>
                <w:sz w:val="24"/>
                <w:szCs w:val="24"/>
              </w:rPr>
              <w:t>Target likely to be met</w:t>
            </w:r>
          </w:p>
        </w:tc>
      </w:tr>
      <w:tr w:rsidR="00E729AF" w:rsidRPr="002C3C7A" w:rsidTr="001342DD">
        <w:trPr>
          <w:jc w:val="center"/>
        </w:trPr>
        <w:tc>
          <w:tcPr>
            <w:tcW w:w="2802" w:type="dxa"/>
          </w:tcPr>
          <w:p w:rsidR="00E729AF" w:rsidRPr="002C3C7A" w:rsidRDefault="00E729AF" w:rsidP="00991AC3">
            <w:pPr>
              <w:jc w:val="both"/>
              <w:rPr>
                <w:rFonts w:ascii="Times New Roman" w:hAnsi="Times New Roman"/>
                <w:b/>
                <w:sz w:val="24"/>
                <w:szCs w:val="24"/>
              </w:rPr>
            </w:pPr>
            <w:r w:rsidRPr="002C3C7A">
              <w:rPr>
                <w:rFonts w:ascii="Times New Roman" w:hAnsi="Times New Roman"/>
                <w:sz w:val="24"/>
                <w:szCs w:val="24"/>
              </w:rPr>
              <w:t>5. Lifting at least 20 million people out of the risk of poverty and social exclusion</w:t>
            </w:r>
          </w:p>
        </w:tc>
        <w:tc>
          <w:tcPr>
            <w:tcW w:w="1701" w:type="dxa"/>
          </w:tcPr>
          <w:p w:rsidR="00E729AF" w:rsidRPr="009347EE" w:rsidRDefault="00140440">
            <w:pPr>
              <w:jc w:val="both"/>
              <w:rPr>
                <w:rFonts w:ascii="Times New Roman" w:hAnsi="Times New Roman"/>
                <w:sz w:val="24"/>
                <w:szCs w:val="24"/>
              </w:rPr>
            </w:pPr>
            <w:r w:rsidRPr="009347EE">
              <w:rPr>
                <w:rFonts w:ascii="Times New Roman" w:hAnsi="Times New Roman"/>
                <w:sz w:val="24"/>
                <w:szCs w:val="24"/>
              </w:rPr>
              <w:t>0.45</w:t>
            </w:r>
            <w:r w:rsidR="00E729AF" w:rsidRPr="009347EE">
              <w:rPr>
                <w:rFonts w:ascii="Times New Roman" w:hAnsi="Times New Roman"/>
                <w:sz w:val="24"/>
                <w:szCs w:val="24"/>
              </w:rPr>
              <w:t xml:space="preserve"> million increase (compared to the 2008 base year)</w:t>
            </w:r>
          </w:p>
        </w:tc>
        <w:tc>
          <w:tcPr>
            <w:tcW w:w="2268" w:type="dxa"/>
          </w:tcPr>
          <w:p w:rsidR="00E729AF" w:rsidRPr="009347EE" w:rsidRDefault="00140440">
            <w:pPr>
              <w:jc w:val="both"/>
              <w:rPr>
                <w:rFonts w:ascii="Times New Roman" w:hAnsi="Times New Roman"/>
                <w:sz w:val="24"/>
                <w:szCs w:val="24"/>
              </w:rPr>
            </w:pPr>
            <w:r w:rsidRPr="009347EE">
              <w:rPr>
                <w:rFonts w:ascii="Times New Roman" w:hAnsi="Times New Roman"/>
                <w:sz w:val="24"/>
                <w:szCs w:val="24"/>
              </w:rPr>
              <w:t>1.7</w:t>
            </w:r>
            <w:r w:rsidR="00E729AF" w:rsidRPr="009347EE">
              <w:rPr>
                <w:rFonts w:ascii="Times New Roman" w:hAnsi="Times New Roman"/>
                <w:sz w:val="24"/>
                <w:szCs w:val="24"/>
              </w:rPr>
              <w:t xml:space="preserve"> million increase (</w:t>
            </w:r>
            <w:r w:rsidRPr="009347EE">
              <w:rPr>
                <w:rFonts w:ascii="Times New Roman" w:hAnsi="Times New Roman"/>
                <w:sz w:val="24"/>
                <w:szCs w:val="24"/>
              </w:rPr>
              <w:t xml:space="preserve">compared to the 2008 base year, </w:t>
            </w:r>
            <w:r w:rsidR="00E729AF" w:rsidRPr="009347EE">
              <w:rPr>
                <w:rFonts w:ascii="Times New Roman" w:hAnsi="Times New Roman"/>
                <w:sz w:val="24"/>
                <w:szCs w:val="24"/>
              </w:rPr>
              <w:t>201</w:t>
            </w:r>
            <w:r w:rsidRPr="009347EE">
              <w:rPr>
                <w:rFonts w:ascii="Times New Roman" w:hAnsi="Times New Roman"/>
                <w:sz w:val="24"/>
                <w:szCs w:val="24"/>
              </w:rPr>
              <w:t>5</w:t>
            </w:r>
            <w:r w:rsidR="00E729AF" w:rsidRPr="009347EE">
              <w:rPr>
                <w:rFonts w:ascii="Times New Roman" w:hAnsi="Times New Roman"/>
                <w:sz w:val="24"/>
                <w:szCs w:val="24"/>
              </w:rPr>
              <w:t>)</w:t>
            </w:r>
          </w:p>
        </w:tc>
        <w:tc>
          <w:tcPr>
            <w:tcW w:w="2517" w:type="dxa"/>
          </w:tcPr>
          <w:p w:rsidR="00E729AF" w:rsidRPr="009347EE" w:rsidRDefault="00E729AF" w:rsidP="00991AC3">
            <w:pPr>
              <w:jc w:val="both"/>
              <w:rPr>
                <w:rFonts w:ascii="Times New Roman" w:hAnsi="Times New Roman"/>
                <w:sz w:val="24"/>
                <w:szCs w:val="24"/>
              </w:rPr>
            </w:pPr>
            <w:r w:rsidRPr="009347EE">
              <w:rPr>
                <w:rFonts w:ascii="Times New Roman" w:hAnsi="Times New Roman"/>
                <w:sz w:val="24"/>
                <w:szCs w:val="24"/>
              </w:rPr>
              <w:t>Target unlikely to be met</w:t>
            </w:r>
          </w:p>
        </w:tc>
      </w:tr>
    </w:tbl>
    <w:p w:rsidR="005C2753" w:rsidRDefault="005C2753" w:rsidP="00991AC3">
      <w:pPr>
        <w:jc w:val="both"/>
        <w:rPr>
          <w:rFonts w:ascii="Times New Roman" w:hAnsi="Times New Roman" w:cs="Times New Roman"/>
          <w:sz w:val="24"/>
          <w:szCs w:val="24"/>
        </w:rPr>
      </w:pPr>
    </w:p>
    <w:p w:rsidR="00476E05" w:rsidRPr="00464124" w:rsidRDefault="00476E05" w:rsidP="00991AC3">
      <w:pPr>
        <w:jc w:val="both"/>
        <w:rPr>
          <w:rFonts w:ascii="Times New Roman" w:hAnsi="Times New Roman" w:cs="Times New Roman"/>
          <w:sz w:val="24"/>
          <w:szCs w:val="24"/>
          <w:lang w:val="fr-FR"/>
        </w:rPr>
      </w:pPr>
      <w:r w:rsidRPr="00464124">
        <w:rPr>
          <w:rFonts w:ascii="Times New Roman" w:hAnsi="Times New Roman" w:cs="Times New Roman"/>
          <w:sz w:val="24"/>
          <w:szCs w:val="24"/>
          <w:lang w:val="fr-FR"/>
        </w:rPr>
        <w:t>Sources: European Commission; European Environment Agency.</w:t>
      </w:r>
    </w:p>
    <w:sectPr w:rsidR="00476E05" w:rsidRPr="00464124" w:rsidSect="00464124">
      <w:headerReference w:type="even" r:id="rId32"/>
      <w:headerReference w:type="default" r:id="rId33"/>
      <w:footerReference w:type="even" r:id="rId34"/>
      <w:footerReference w:type="default" r:id="rId35"/>
      <w:headerReference w:type="first" r:id="rId36"/>
      <w:footerReference w:type="first" r:id="rId37"/>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023" w:rsidRDefault="00417023" w:rsidP="00E729AF">
      <w:pPr>
        <w:spacing w:after="0" w:line="240" w:lineRule="auto"/>
      </w:pPr>
      <w:r>
        <w:separator/>
      </w:r>
    </w:p>
  </w:endnote>
  <w:endnote w:type="continuationSeparator" w:id="0">
    <w:p w:rsidR="00417023" w:rsidRDefault="00417023" w:rsidP="00E7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69" w:rsidRPr="001E3869" w:rsidRDefault="001E3869" w:rsidP="001E386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DD" w:rsidRDefault="001342D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DD" w:rsidRDefault="001342DD">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7F29F2">
      <w:rPr>
        <w:noProof/>
        <w:sz w:val="20"/>
        <w:szCs w:val="20"/>
      </w:rPr>
      <w:t>20</w:t>
    </w:r>
    <w:r>
      <w:rPr>
        <w:noProof/>
        <w:sz w:val="20"/>
        <w:szCs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DD" w:rsidRDefault="001342DD">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69" w:rsidRPr="001E3869" w:rsidRDefault="001E3869" w:rsidP="001E3869">
    <w:pPr>
      <w:pStyle w:val="FooterCoverPage"/>
      <w:rPr>
        <w:rFonts w:ascii="Arial" w:hAnsi="Arial" w:cs="Arial"/>
        <w:b/>
        <w:sz w:val="48"/>
      </w:rPr>
    </w:pPr>
    <w:r w:rsidRPr="001E3869">
      <w:rPr>
        <w:rFonts w:ascii="Arial" w:hAnsi="Arial" w:cs="Arial"/>
        <w:b/>
        <w:sz w:val="48"/>
      </w:rPr>
      <w:t>EN</w:t>
    </w:r>
    <w:r w:rsidRPr="001E3869">
      <w:rPr>
        <w:rFonts w:ascii="Arial" w:hAnsi="Arial" w:cs="Arial"/>
        <w:b/>
        <w:sz w:val="48"/>
      </w:rPr>
      <w:tab/>
    </w:r>
    <w:r w:rsidRPr="001E3869">
      <w:rPr>
        <w:rFonts w:ascii="Arial" w:hAnsi="Arial" w:cs="Arial"/>
        <w:b/>
        <w:sz w:val="48"/>
      </w:rPr>
      <w:tab/>
    </w:r>
    <w:r w:rsidR="007F29F2">
      <w:fldChar w:fldCharType="begin"/>
    </w:r>
    <w:r w:rsidR="007F29F2">
      <w:instrText xml:space="preserve"> DOCVARIABLE "LW_Confidence" \* MERGEFORMAT </w:instrText>
    </w:r>
    <w:r w:rsidR="007F29F2">
      <w:fldChar w:fldCharType="separate"/>
    </w:r>
    <w:r w:rsidR="007F29F2">
      <w:t xml:space="preserve"> </w:t>
    </w:r>
    <w:r w:rsidR="007F29F2">
      <w:fldChar w:fldCharType="end"/>
    </w:r>
    <w:r w:rsidRPr="001E3869">
      <w:tab/>
    </w:r>
    <w:proofErr w:type="spellStart"/>
    <w:r w:rsidRPr="001E3869">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69" w:rsidRPr="001E3869" w:rsidRDefault="001E3869" w:rsidP="001E386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DD" w:rsidRDefault="001342D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318246"/>
      <w:docPartObj>
        <w:docPartGallery w:val="Page Numbers (Bottom of Page)"/>
        <w:docPartUnique/>
      </w:docPartObj>
    </w:sdtPr>
    <w:sdtEndPr>
      <w:rPr>
        <w:noProof/>
      </w:rPr>
    </w:sdtEndPr>
    <w:sdtContent>
      <w:p w:rsidR="001342DD" w:rsidRDefault="001342DD">
        <w:pPr>
          <w:pStyle w:val="Footer"/>
          <w:jc w:val="center"/>
        </w:pPr>
        <w:r>
          <w:fldChar w:fldCharType="begin"/>
        </w:r>
        <w:r>
          <w:instrText xml:space="preserve"> PAGE   \* MERGEFORMAT </w:instrText>
        </w:r>
        <w:r>
          <w:fldChar w:fldCharType="separate"/>
        </w:r>
        <w:r w:rsidR="007F29F2">
          <w:rPr>
            <w:noProof/>
          </w:rPr>
          <w:t>14</w:t>
        </w:r>
        <w:r>
          <w:rPr>
            <w:noProof/>
          </w:rPr>
          <w:fldChar w:fldCharType="end"/>
        </w:r>
      </w:p>
    </w:sdtContent>
  </w:sdt>
  <w:p w:rsidR="001342DD" w:rsidRPr="00E729AF" w:rsidRDefault="001342DD" w:rsidP="00E729A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DD" w:rsidRDefault="001342D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DD" w:rsidRDefault="001342D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DD" w:rsidRDefault="001342DD">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7F29F2">
      <w:rPr>
        <w:noProof/>
        <w:sz w:val="20"/>
        <w:szCs w:val="20"/>
      </w:rPr>
      <w:t>19</w:t>
    </w:r>
    <w:r>
      <w:rPr>
        <w:noProof/>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DD" w:rsidRDefault="001342DD">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023" w:rsidRDefault="00417023" w:rsidP="00E729AF">
      <w:pPr>
        <w:spacing w:after="0" w:line="240" w:lineRule="auto"/>
      </w:pPr>
      <w:r>
        <w:separator/>
      </w:r>
    </w:p>
  </w:footnote>
  <w:footnote w:type="continuationSeparator" w:id="0">
    <w:p w:rsidR="00417023" w:rsidRDefault="00417023" w:rsidP="00E729AF">
      <w:pPr>
        <w:spacing w:after="0" w:line="240" w:lineRule="auto"/>
      </w:pPr>
      <w:r>
        <w:continuationSeparator/>
      </w:r>
    </w:p>
  </w:footnote>
  <w:footnote w:id="1">
    <w:p w:rsidR="009B5208" w:rsidRDefault="001342DD" w:rsidP="009B5208">
      <w:pPr>
        <w:pStyle w:val="FootnoteText"/>
      </w:pPr>
      <w:r>
        <w:rPr>
          <w:rStyle w:val="FootnoteReference"/>
        </w:rPr>
        <w:footnoteRef/>
      </w:r>
      <w:r>
        <w:t xml:space="preserve"> </w:t>
      </w:r>
      <w:r w:rsidR="009B5208">
        <w:t>See national programmes at:</w:t>
      </w:r>
    </w:p>
    <w:p w:rsidR="001342DD" w:rsidRPr="00C278FF" w:rsidRDefault="007F29F2" w:rsidP="005242D2">
      <w:pPr>
        <w:pStyle w:val="FootnoteText"/>
        <w:ind w:firstLine="0"/>
      </w:pPr>
      <w:hyperlink r:id="rId1" w:history="1">
        <w:r w:rsidR="00AE2023" w:rsidRPr="004D3E6E">
          <w:rPr>
            <w:rStyle w:val="Hyperlink"/>
          </w:rPr>
          <w:t>https://ec.europa.eu/info/2017-european-semester-national-reform-programmes-and-stability-convergence-programmes_en</w:t>
        </w:r>
      </w:hyperlink>
      <w:r w:rsidR="00AE2023">
        <w:t xml:space="preserve">  </w:t>
      </w:r>
      <w:r w:rsidR="009B5208">
        <w:t>and Commission Spring 2017 Economic Forecast of 11 May 2017 at:</w:t>
      </w:r>
      <w:r w:rsidR="00AE2023">
        <w:t xml:space="preserve"> </w:t>
      </w:r>
      <w:hyperlink r:id="rId2" w:history="1">
        <w:r w:rsidR="00AE2023" w:rsidRPr="004D3E6E">
          <w:rPr>
            <w:rStyle w:val="Hyperlink"/>
          </w:rPr>
          <w:t>https://ec.europa.eu/info/business-economy-euro/economic-performance-and-forecasts/economic-forecasts/spring-2017-economic-forecast_en</w:t>
        </w:r>
      </w:hyperlink>
      <w:r w:rsidR="00AE2023">
        <w:t xml:space="preserve"> </w:t>
      </w:r>
    </w:p>
  </w:footnote>
  <w:footnote w:id="2">
    <w:p w:rsidR="007B7442" w:rsidRPr="00C278FF" w:rsidRDefault="007B7442">
      <w:pPr>
        <w:pStyle w:val="FootnoteText"/>
      </w:pPr>
      <w:r>
        <w:rPr>
          <w:rStyle w:val="FootnoteReference"/>
        </w:rPr>
        <w:footnoteRef/>
      </w:r>
      <w:r>
        <w:t xml:space="preserve"> </w:t>
      </w:r>
      <w:r w:rsidRPr="00F65042">
        <w:t xml:space="preserve">See </w:t>
      </w:r>
      <w:hyperlink r:id="rId3" w:history="1">
        <w:r w:rsidR="00F65042" w:rsidRPr="004D3E6E">
          <w:rPr>
            <w:rStyle w:val="Hyperlink"/>
          </w:rPr>
          <w:t>https://ec.europa.eu/info/publications/2017-european-semester-country-reports_en</w:t>
        </w:r>
      </w:hyperlink>
      <w:r w:rsidR="00F65042">
        <w:t xml:space="preserve"> </w:t>
      </w:r>
      <w:r w:rsidR="00E46EAB" w:rsidRPr="00E46EAB" w:rsidDel="00E46EAB">
        <w:rPr>
          <w:highlight w:val="yellow"/>
        </w:rPr>
        <w:t xml:space="preserve"> </w:t>
      </w:r>
      <w:r w:rsidR="00E46EAB">
        <w:rPr>
          <w:highlight w:val="yellow"/>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69" w:rsidRPr="001E3869" w:rsidRDefault="001E3869" w:rsidP="001E386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DD" w:rsidRDefault="001342D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DD" w:rsidRDefault="001342DD">
    <w:pPr>
      <w:pStyle w:val="HeaderLandscape"/>
      <w:rPr>
        <w:sz w:val="10"/>
        <w:szCs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DD" w:rsidRDefault="001342DD">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69" w:rsidRPr="001E3869" w:rsidRDefault="001E3869" w:rsidP="001E386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69" w:rsidRPr="001E3869" w:rsidRDefault="001E3869" w:rsidP="001E386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DD" w:rsidRDefault="001342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DD" w:rsidRDefault="001342D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DD" w:rsidRDefault="001342D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DD" w:rsidRDefault="001342D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DD" w:rsidRDefault="001342DD">
    <w:pPr>
      <w:pStyle w:val="HeaderLandscape"/>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DD" w:rsidRDefault="001342DD">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7CFD990BBCC44A6FB5BD649632E94CE5"/>
    <w:docVar w:name="LW_CROSSREFERENCE" w:val="&lt;UNUSED&gt;"/>
    <w:docVar w:name="LW_DocType" w:val="NORMAL"/>
    <w:docVar w:name="LW_EMISSION" w:val="22.5.2017"/>
    <w:docVar w:name="LW_EMISSION_ISODATE" w:val="2017-05-22"/>
    <w:docVar w:name="LW_EMISSION_LOCATION" w:val="BRX"/>
    <w:docVar w:name="LW_EMISSION_PREFIX" w:val="Brussels, "/>
    <w:docVar w:name="LW_EMISSION_SUFFIX" w:val=" "/>
    <w:docVar w:name="LW_ID_DOCTYPE_NONLW" w:val="CP-009"/>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500"/>
    <w:docVar w:name="LW_REF.INTERNE" w:val="&lt;UNUSED&gt;"/>
    <w:docVar w:name="LW_SOUS.TITRE.OBJ.CP" w:val="&lt;UNUSED&gt;"/>
    <w:docVar w:name="LW_SUPERTITRE" w:val="&lt;UNUSED&gt;"/>
    <w:docVar w:name="LW_TITRE.OBJ.CP" w:val="2017 European Semester: Country-specific recommendations"/>
    <w:docVar w:name="LW_TYPE.DOC.CP" w:val="COMMUNICATION FROM THE COMMISSION"/>
    <w:docVar w:name="LW_TYPE.DOC.CP.USERTEXT" w:val="TO THE EUROPEAN PARLIAMENT, THE EUROPEAN COUNCIL, THE COUNCIL, THE EUROPEAN CENTRAL BANK, THE EUROPEAN ECONOMIC AND SOCIAL COMMITTEE, THE COMMITTEE OF THE REGIONS AND THE EUROPEAN INVESTMENT BANK_x000b__x000b_"/>
  </w:docVars>
  <w:rsids>
    <w:rsidRoot w:val="00E729AF"/>
    <w:rsid w:val="00001E2D"/>
    <w:rsid w:val="000149C2"/>
    <w:rsid w:val="00023018"/>
    <w:rsid w:val="00034708"/>
    <w:rsid w:val="00035B6B"/>
    <w:rsid w:val="00043505"/>
    <w:rsid w:val="000556B6"/>
    <w:rsid w:val="00067C23"/>
    <w:rsid w:val="00070085"/>
    <w:rsid w:val="00071643"/>
    <w:rsid w:val="00093532"/>
    <w:rsid w:val="00097318"/>
    <w:rsid w:val="000B1D30"/>
    <w:rsid w:val="000B2502"/>
    <w:rsid w:val="000B42D1"/>
    <w:rsid w:val="000C3B93"/>
    <w:rsid w:val="000C48CF"/>
    <w:rsid w:val="000C651B"/>
    <w:rsid w:val="000D0698"/>
    <w:rsid w:val="000D0A38"/>
    <w:rsid w:val="000D7916"/>
    <w:rsid w:val="000E04A6"/>
    <w:rsid w:val="000E4C0E"/>
    <w:rsid w:val="000E7F8F"/>
    <w:rsid w:val="000F21F4"/>
    <w:rsid w:val="001342DD"/>
    <w:rsid w:val="00140440"/>
    <w:rsid w:val="001536F4"/>
    <w:rsid w:val="00171369"/>
    <w:rsid w:val="001B67CF"/>
    <w:rsid w:val="001E3869"/>
    <w:rsid w:val="001F2FB1"/>
    <w:rsid w:val="00211AA3"/>
    <w:rsid w:val="0024184B"/>
    <w:rsid w:val="00252E84"/>
    <w:rsid w:val="0026156E"/>
    <w:rsid w:val="00264B49"/>
    <w:rsid w:val="002A5BBF"/>
    <w:rsid w:val="002C3114"/>
    <w:rsid w:val="002C3C7A"/>
    <w:rsid w:val="002C4D4D"/>
    <w:rsid w:val="002F3148"/>
    <w:rsid w:val="00301417"/>
    <w:rsid w:val="00313D5A"/>
    <w:rsid w:val="0032288A"/>
    <w:rsid w:val="003417A8"/>
    <w:rsid w:val="00346FCB"/>
    <w:rsid w:val="00350073"/>
    <w:rsid w:val="00351C44"/>
    <w:rsid w:val="003575AF"/>
    <w:rsid w:val="00360123"/>
    <w:rsid w:val="003842C8"/>
    <w:rsid w:val="003A4CCE"/>
    <w:rsid w:val="003A792A"/>
    <w:rsid w:val="003B3323"/>
    <w:rsid w:val="003E02B3"/>
    <w:rsid w:val="00417023"/>
    <w:rsid w:val="00421EBC"/>
    <w:rsid w:val="0042572C"/>
    <w:rsid w:val="00445450"/>
    <w:rsid w:val="00464124"/>
    <w:rsid w:val="00476E05"/>
    <w:rsid w:val="00483A9D"/>
    <w:rsid w:val="004A6244"/>
    <w:rsid w:val="004C7663"/>
    <w:rsid w:val="005056C8"/>
    <w:rsid w:val="005242D2"/>
    <w:rsid w:val="00541437"/>
    <w:rsid w:val="00552162"/>
    <w:rsid w:val="0056716F"/>
    <w:rsid w:val="00570BF2"/>
    <w:rsid w:val="00573CD4"/>
    <w:rsid w:val="005A67E8"/>
    <w:rsid w:val="005A6F73"/>
    <w:rsid w:val="005B3250"/>
    <w:rsid w:val="005C2444"/>
    <w:rsid w:val="005C2753"/>
    <w:rsid w:val="005F3F8D"/>
    <w:rsid w:val="006152BF"/>
    <w:rsid w:val="006177E1"/>
    <w:rsid w:val="00620D3B"/>
    <w:rsid w:val="00621064"/>
    <w:rsid w:val="0064398B"/>
    <w:rsid w:val="00664B52"/>
    <w:rsid w:val="00665B03"/>
    <w:rsid w:val="00676D88"/>
    <w:rsid w:val="006B469E"/>
    <w:rsid w:val="006D0CFC"/>
    <w:rsid w:val="006E6819"/>
    <w:rsid w:val="006F3077"/>
    <w:rsid w:val="00711926"/>
    <w:rsid w:val="007240A2"/>
    <w:rsid w:val="00726336"/>
    <w:rsid w:val="007627BE"/>
    <w:rsid w:val="0077065B"/>
    <w:rsid w:val="00783233"/>
    <w:rsid w:val="00796734"/>
    <w:rsid w:val="007B4CD1"/>
    <w:rsid w:val="007B7442"/>
    <w:rsid w:val="007C71D6"/>
    <w:rsid w:val="007D3606"/>
    <w:rsid w:val="007E5C9D"/>
    <w:rsid w:val="007F29F2"/>
    <w:rsid w:val="007F6389"/>
    <w:rsid w:val="00812E55"/>
    <w:rsid w:val="0081475A"/>
    <w:rsid w:val="00824510"/>
    <w:rsid w:val="00843605"/>
    <w:rsid w:val="0084728B"/>
    <w:rsid w:val="00865A50"/>
    <w:rsid w:val="0087359E"/>
    <w:rsid w:val="0087510F"/>
    <w:rsid w:val="00880F92"/>
    <w:rsid w:val="008C1AA4"/>
    <w:rsid w:val="008C357F"/>
    <w:rsid w:val="008F14E0"/>
    <w:rsid w:val="008F3A5F"/>
    <w:rsid w:val="009055EF"/>
    <w:rsid w:val="00913F33"/>
    <w:rsid w:val="009203D3"/>
    <w:rsid w:val="0092338B"/>
    <w:rsid w:val="00930F83"/>
    <w:rsid w:val="009347EE"/>
    <w:rsid w:val="00967FC0"/>
    <w:rsid w:val="009864A8"/>
    <w:rsid w:val="00991AC3"/>
    <w:rsid w:val="009A513E"/>
    <w:rsid w:val="009B5208"/>
    <w:rsid w:val="009C2DA3"/>
    <w:rsid w:val="009C588A"/>
    <w:rsid w:val="009C6AD6"/>
    <w:rsid w:val="009D3413"/>
    <w:rsid w:val="009D3CDB"/>
    <w:rsid w:val="009D6226"/>
    <w:rsid w:val="009D6F4C"/>
    <w:rsid w:val="00A06DC6"/>
    <w:rsid w:val="00A06F95"/>
    <w:rsid w:val="00A226AA"/>
    <w:rsid w:val="00A505A9"/>
    <w:rsid w:val="00A52118"/>
    <w:rsid w:val="00A60A62"/>
    <w:rsid w:val="00A713C8"/>
    <w:rsid w:val="00A94D37"/>
    <w:rsid w:val="00AA697A"/>
    <w:rsid w:val="00AC1A86"/>
    <w:rsid w:val="00AE0D51"/>
    <w:rsid w:val="00AE2023"/>
    <w:rsid w:val="00AF07B3"/>
    <w:rsid w:val="00AF0C20"/>
    <w:rsid w:val="00AF1615"/>
    <w:rsid w:val="00B0150F"/>
    <w:rsid w:val="00B0224B"/>
    <w:rsid w:val="00B13D12"/>
    <w:rsid w:val="00B23A5B"/>
    <w:rsid w:val="00B23A64"/>
    <w:rsid w:val="00B370B1"/>
    <w:rsid w:val="00B65BF7"/>
    <w:rsid w:val="00B7660A"/>
    <w:rsid w:val="00B93FAC"/>
    <w:rsid w:val="00BC339D"/>
    <w:rsid w:val="00BE4C32"/>
    <w:rsid w:val="00BE6A44"/>
    <w:rsid w:val="00BF2613"/>
    <w:rsid w:val="00C20E1B"/>
    <w:rsid w:val="00C278FF"/>
    <w:rsid w:val="00C37BF1"/>
    <w:rsid w:val="00C37CA6"/>
    <w:rsid w:val="00C43629"/>
    <w:rsid w:val="00C57623"/>
    <w:rsid w:val="00CA2E6D"/>
    <w:rsid w:val="00CA35DD"/>
    <w:rsid w:val="00CA4133"/>
    <w:rsid w:val="00CA5BEE"/>
    <w:rsid w:val="00CD1CBB"/>
    <w:rsid w:val="00CF3A7C"/>
    <w:rsid w:val="00D23D04"/>
    <w:rsid w:val="00D25621"/>
    <w:rsid w:val="00D402D3"/>
    <w:rsid w:val="00D6007F"/>
    <w:rsid w:val="00D61EAC"/>
    <w:rsid w:val="00D6583F"/>
    <w:rsid w:val="00D724A8"/>
    <w:rsid w:val="00D82E6D"/>
    <w:rsid w:val="00D87B79"/>
    <w:rsid w:val="00DA6125"/>
    <w:rsid w:val="00E0600A"/>
    <w:rsid w:val="00E21FD1"/>
    <w:rsid w:val="00E23AC3"/>
    <w:rsid w:val="00E455E4"/>
    <w:rsid w:val="00E46EAB"/>
    <w:rsid w:val="00E52C13"/>
    <w:rsid w:val="00E729AF"/>
    <w:rsid w:val="00E84C51"/>
    <w:rsid w:val="00ED0D53"/>
    <w:rsid w:val="00EE6881"/>
    <w:rsid w:val="00EE68FD"/>
    <w:rsid w:val="00F21185"/>
    <w:rsid w:val="00F32B4B"/>
    <w:rsid w:val="00F52633"/>
    <w:rsid w:val="00F57D0D"/>
    <w:rsid w:val="00F57E6F"/>
    <w:rsid w:val="00F65042"/>
    <w:rsid w:val="00F80AE6"/>
    <w:rsid w:val="00F87F53"/>
    <w:rsid w:val="00F94430"/>
    <w:rsid w:val="00FB5401"/>
    <w:rsid w:val="00FF048E"/>
    <w:rsid w:val="00FF6390"/>
    <w:rsid w:val="00FF6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E729AF"/>
    <w:rPr>
      <w:color w:val="0000FF"/>
      <w:shd w:val="clear" w:color="auto" w:fill="auto"/>
    </w:rPr>
  </w:style>
  <w:style w:type="paragraph" w:customStyle="1" w:styleId="Pagedecouverture">
    <w:name w:val="Page de couverture"/>
    <w:basedOn w:val="Normal"/>
    <w:next w:val="Normal"/>
    <w:rsid w:val="00E729AF"/>
    <w:pPr>
      <w:spacing w:after="0" w:line="240" w:lineRule="auto"/>
      <w:jc w:val="both"/>
    </w:pPr>
    <w:rPr>
      <w:rFonts w:ascii="Times New Roman" w:hAnsi="Times New Roman" w:cs="Times New Roman"/>
      <w:sz w:val="24"/>
    </w:rPr>
  </w:style>
  <w:style w:type="paragraph" w:styleId="Header">
    <w:name w:val="header"/>
    <w:basedOn w:val="Normal"/>
    <w:link w:val="HeaderChar"/>
    <w:unhideWhenUsed/>
    <w:rsid w:val="00E729AF"/>
    <w:pPr>
      <w:tabs>
        <w:tab w:val="center" w:pos="4536"/>
        <w:tab w:val="right" w:pos="9072"/>
      </w:tabs>
      <w:spacing w:after="0" w:line="240" w:lineRule="auto"/>
    </w:pPr>
  </w:style>
  <w:style w:type="character" w:customStyle="1" w:styleId="HeaderChar">
    <w:name w:val="Header Char"/>
    <w:basedOn w:val="DefaultParagraphFont"/>
    <w:link w:val="Header"/>
    <w:rsid w:val="00E729AF"/>
  </w:style>
  <w:style w:type="paragraph" w:styleId="Footer">
    <w:name w:val="footer"/>
    <w:basedOn w:val="Normal"/>
    <w:link w:val="FooterChar"/>
    <w:uiPriority w:val="99"/>
    <w:unhideWhenUsed/>
    <w:rsid w:val="00E729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29AF"/>
  </w:style>
  <w:style w:type="paragraph" w:customStyle="1" w:styleId="FooterCoverPage">
    <w:name w:val="Footer Cover Page"/>
    <w:basedOn w:val="Normal"/>
    <w:link w:val="FooterCoverPageChar"/>
    <w:rsid w:val="00E729A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E729AF"/>
    <w:rPr>
      <w:rFonts w:ascii="Times New Roman" w:hAnsi="Times New Roman" w:cs="Times New Roman"/>
      <w:sz w:val="24"/>
    </w:rPr>
  </w:style>
  <w:style w:type="paragraph" w:customStyle="1" w:styleId="HeaderCoverPage">
    <w:name w:val="Header Cover Page"/>
    <w:basedOn w:val="Normal"/>
    <w:link w:val="HeaderCoverPageChar"/>
    <w:rsid w:val="00E729A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E729AF"/>
    <w:rPr>
      <w:rFonts w:ascii="Times New Roman" w:hAnsi="Times New Roman" w:cs="Times New Roman"/>
      <w:sz w:val="24"/>
    </w:rPr>
  </w:style>
  <w:style w:type="paragraph" w:customStyle="1" w:styleId="FooterLandscape">
    <w:name w:val="FooterLandscape"/>
    <w:basedOn w:val="Normal"/>
    <w:rsid w:val="00E729AF"/>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rsid w:val="00E729AF"/>
    <w:rPr>
      <w:shd w:val="clear" w:color="auto" w:fill="auto"/>
      <w:vertAlign w:val="superscript"/>
    </w:rPr>
  </w:style>
  <w:style w:type="paragraph" w:styleId="FootnoteText">
    <w:name w:val="footnote text"/>
    <w:basedOn w:val="Normal"/>
    <w:link w:val="FootnoteTextChar"/>
    <w:uiPriority w:val="99"/>
    <w:semiHidden/>
    <w:rsid w:val="00E729AF"/>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729AF"/>
    <w:rPr>
      <w:rFonts w:ascii="Times New Roman" w:eastAsia="Times New Roman" w:hAnsi="Times New Roman" w:cs="Times New Roman"/>
      <w:sz w:val="20"/>
      <w:szCs w:val="20"/>
    </w:rPr>
  </w:style>
  <w:style w:type="paragraph" w:customStyle="1" w:styleId="HeaderLandscape">
    <w:name w:val="HeaderLandscape"/>
    <w:basedOn w:val="Normal"/>
    <w:rsid w:val="00E729AF"/>
    <w:pPr>
      <w:tabs>
        <w:tab w:val="center" w:pos="7285"/>
        <w:tab w:val="right" w:pos="14003"/>
      </w:tabs>
      <w:spacing w:before="120" w:after="120" w:line="240" w:lineRule="auto"/>
      <w:jc w:val="both"/>
    </w:pPr>
    <w:rPr>
      <w:rFonts w:ascii="Times New Roman" w:eastAsia="Times New Roman" w:hAnsi="Times New Roman" w:cs="Times New Roman"/>
      <w:sz w:val="24"/>
      <w:szCs w:val="24"/>
    </w:rPr>
  </w:style>
  <w:style w:type="paragraph" w:customStyle="1" w:styleId="Default">
    <w:name w:val="Default"/>
    <w:rsid w:val="00E729AF"/>
    <w:pPr>
      <w:autoSpaceDE w:val="0"/>
      <w:autoSpaceDN w:val="0"/>
      <w:adjustRightInd w:val="0"/>
      <w:spacing w:after="0" w:line="240" w:lineRule="auto"/>
    </w:pPr>
    <w:rPr>
      <w:rFonts w:ascii="EUAlbertina" w:eastAsia="Calibri" w:hAnsi="EUAlbertina" w:cs="EUAlbertina"/>
      <w:color w:val="000000"/>
      <w:sz w:val="24"/>
      <w:szCs w:val="24"/>
      <w:lang w:eastAsia="en-GB"/>
    </w:rPr>
  </w:style>
  <w:style w:type="table" w:styleId="TableGrid">
    <w:name w:val="Table Grid"/>
    <w:basedOn w:val="TableNormal"/>
    <w:uiPriority w:val="59"/>
    <w:rsid w:val="00E729AF"/>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2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9AF"/>
    <w:rPr>
      <w:rFonts w:ascii="Tahoma" w:hAnsi="Tahoma" w:cs="Tahoma"/>
      <w:sz w:val="16"/>
      <w:szCs w:val="16"/>
    </w:rPr>
  </w:style>
  <w:style w:type="character" w:styleId="CommentReference">
    <w:name w:val="annotation reference"/>
    <w:basedOn w:val="DefaultParagraphFont"/>
    <w:uiPriority w:val="99"/>
    <w:semiHidden/>
    <w:unhideWhenUsed/>
    <w:rsid w:val="00CA4133"/>
    <w:rPr>
      <w:sz w:val="16"/>
      <w:szCs w:val="16"/>
    </w:rPr>
  </w:style>
  <w:style w:type="paragraph" w:styleId="CommentText">
    <w:name w:val="annotation text"/>
    <w:basedOn w:val="Normal"/>
    <w:link w:val="CommentTextChar"/>
    <w:uiPriority w:val="99"/>
    <w:semiHidden/>
    <w:unhideWhenUsed/>
    <w:rsid w:val="00CA4133"/>
    <w:pPr>
      <w:spacing w:line="240" w:lineRule="auto"/>
    </w:pPr>
    <w:rPr>
      <w:sz w:val="20"/>
      <w:szCs w:val="20"/>
    </w:rPr>
  </w:style>
  <w:style w:type="character" w:customStyle="1" w:styleId="CommentTextChar">
    <w:name w:val="Comment Text Char"/>
    <w:basedOn w:val="DefaultParagraphFont"/>
    <w:link w:val="CommentText"/>
    <w:uiPriority w:val="99"/>
    <w:semiHidden/>
    <w:rsid w:val="00CA4133"/>
    <w:rPr>
      <w:sz w:val="20"/>
      <w:szCs w:val="20"/>
    </w:rPr>
  </w:style>
  <w:style w:type="paragraph" w:styleId="CommentSubject">
    <w:name w:val="annotation subject"/>
    <w:basedOn w:val="CommentText"/>
    <w:next w:val="CommentText"/>
    <w:link w:val="CommentSubjectChar"/>
    <w:uiPriority w:val="99"/>
    <w:semiHidden/>
    <w:unhideWhenUsed/>
    <w:rsid w:val="00CA4133"/>
    <w:rPr>
      <w:b/>
      <w:bCs/>
    </w:rPr>
  </w:style>
  <w:style w:type="character" w:customStyle="1" w:styleId="CommentSubjectChar">
    <w:name w:val="Comment Subject Char"/>
    <w:basedOn w:val="CommentTextChar"/>
    <w:link w:val="CommentSubject"/>
    <w:uiPriority w:val="99"/>
    <w:semiHidden/>
    <w:rsid w:val="00CA4133"/>
    <w:rPr>
      <w:b/>
      <w:bCs/>
      <w:sz w:val="20"/>
      <w:szCs w:val="20"/>
    </w:rPr>
  </w:style>
  <w:style w:type="character" w:styleId="Hyperlink">
    <w:name w:val="Hyperlink"/>
    <w:basedOn w:val="DefaultParagraphFont"/>
    <w:uiPriority w:val="99"/>
    <w:unhideWhenUsed/>
    <w:rsid w:val="00AE20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E729AF"/>
    <w:rPr>
      <w:color w:val="0000FF"/>
      <w:shd w:val="clear" w:color="auto" w:fill="auto"/>
    </w:rPr>
  </w:style>
  <w:style w:type="paragraph" w:customStyle="1" w:styleId="Pagedecouverture">
    <w:name w:val="Page de couverture"/>
    <w:basedOn w:val="Normal"/>
    <w:next w:val="Normal"/>
    <w:rsid w:val="00E729AF"/>
    <w:pPr>
      <w:spacing w:after="0" w:line="240" w:lineRule="auto"/>
      <w:jc w:val="both"/>
    </w:pPr>
    <w:rPr>
      <w:rFonts w:ascii="Times New Roman" w:hAnsi="Times New Roman" w:cs="Times New Roman"/>
      <w:sz w:val="24"/>
    </w:rPr>
  </w:style>
  <w:style w:type="paragraph" w:styleId="Header">
    <w:name w:val="header"/>
    <w:basedOn w:val="Normal"/>
    <w:link w:val="HeaderChar"/>
    <w:unhideWhenUsed/>
    <w:rsid w:val="00E729AF"/>
    <w:pPr>
      <w:tabs>
        <w:tab w:val="center" w:pos="4536"/>
        <w:tab w:val="right" w:pos="9072"/>
      </w:tabs>
      <w:spacing w:after="0" w:line="240" w:lineRule="auto"/>
    </w:pPr>
  </w:style>
  <w:style w:type="character" w:customStyle="1" w:styleId="HeaderChar">
    <w:name w:val="Header Char"/>
    <w:basedOn w:val="DefaultParagraphFont"/>
    <w:link w:val="Header"/>
    <w:rsid w:val="00E729AF"/>
  </w:style>
  <w:style w:type="paragraph" w:styleId="Footer">
    <w:name w:val="footer"/>
    <w:basedOn w:val="Normal"/>
    <w:link w:val="FooterChar"/>
    <w:uiPriority w:val="99"/>
    <w:unhideWhenUsed/>
    <w:rsid w:val="00E729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29AF"/>
  </w:style>
  <w:style w:type="paragraph" w:customStyle="1" w:styleId="FooterCoverPage">
    <w:name w:val="Footer Cover Page"/>
    <w:basedOn w:val="Normal"/>
    <w:link w:val="FooterCoverPageChar"/>
    <w:rsid w:val="00E729A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E729AF"/>
    <w:rPr>
      <w:rFonts w:ascii="Times New Roman" w:hAnsi="Times New Roman" w:cs="Times New Roman"/>
      <w:sz w:val="24"/>
    </w:rPr>
  </w:style>
  <w:style w:type="paragraph" w:customStyle="1" w:styleId="HeaderCoverPage">
    <w:name w:val="Header Cover Page"/>
    <w:basedOn w:val="Normal"/>
    <w:link w:val="HeaderCoverPageChar"/>
    <w:rsid w:val="00E729A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E729AF"/>
    <w:rPr>
      <w:rFonts w:ascii="Times New Roman" w:hAnsi="Times New Roman" w:cs="Times New Roman"/>
      <w:sz w:val="24"/>
    </w:rPr>
  </w:style>
  <w:style w:type="paragraph" w:customStyle="1" w:styleId="FooterLandscape">
    <w:name w:val="FooterLandscape"/>
    <w:basedOn w:val="Normal"/>
    <w:rsid w:val="00E729AF"/>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rsid w:val="00E729AF"/>
    <w:rPr>
      <w:shd w:val="clear" w:color="auto" w:fill="auto"/>
      <w:vertAlign w:val="superscript"/>
    </w:rPr>
  </w:style>
  <w:style w:type="paragraph" w:styleId="FootnoteText">
    <w:name w:val="footnote text"/>
    <w:basedOn w:val="Normal"/>
    <w:link w:val="FootnoteTextChar"/>
    <w:uiPriority w:val="99"/>
    <w:semiHidden/>
    <w:rsid w:val="00E729AF"/>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729AF"/>
    <w:rPr>
      <w:rFonts w:ascii="Times New Roman" w:eastAsia="Times New Roman" w:hAnsi="Times New Roman" w:cs="Times New Roman"/>
      <w:sz w:val="20"/>
      <w:szCs w:val="20"/>
    </w:rPr>
  </w:style>
  <w:style w:type="paragraph" w:customStyle="1" w:styleId="HeaderLandscape">
    <w:name w:val="HeaderLandscape"/>
    <w:basedOn w:val="Normal"/>
    <w:rsid w:val="00E729AF"/>
    <w:pPr>
      <w:tabs>
        <w:tab w:val="center" w:pos="7285"/>
        <w:tab w:val="right" w:pos="14003"/>
      </w:tabs>
      <w:spacing w:before="120" w:after="120" w:line="240" w:lineRule="auto"/>
      <w:jc w:val="both"/>
    </w:pPr>
    <w:rPr>
      <w:rFonts w:ascii="Times New Roman" w:eastAsia="Times New Roman" w:hAnsi="Times New Roman" w:cs="Times New Roman"/>
      <w:sz w:val="24"/>
      <w:szCs w:val="24"/>
    </w:rPr>
  </w:style>
  <w:style w:type="paragraph" w:customStyle="1" w:styleId="Default">
    <w:name w:val="Default"/>
    <w:rsid w:val="00E729AF"/>
    <w:pPr>
      <w:autoSpaceDE w:val="0"/>
      <w:autoSpaceDN w:val="0"/>
      <w:adjustRightInd w:val="0"/>
      <w:spacing w:after="0" w:line="240" w:lineRule="auto"/>
    </w:pPr>
    <w:rPr>
      <w:rFonts w:ascii="EUAlbertina" w:eastAsia="Calibri" w:hAnsi="EUAlbertina" w:cs="EUAlbertina"/>
      <w:color w:val="000000"/>
      <w:sz w:val="24"/>
      <w:szCs w:val="24"/>
      <w:lang w:eastAsia="en-GB"/>
    </w:rPr>
  </w:style>
  <w:style w:type="table" w:styleId="TableGrid">
    <w:name w:val="Table Grid"/>
    <w:basedOn w:val="TableNormal"/>
    <w:uiPriority w:val="59"/>
    <w:rsid w:val="00E729AF"/>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2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9AF"/>
    <w:rPr>
      <w:rFonts w:ascii="Tahoma" w:hAnsi="Tahoma" w:cs="Tahoma"/>
      <w:sz w:val="16"/>
      <w:szCs w:val="16"/>
    </w:rPr>
  </w:style>
  <w:style w:type="character" w:styleId="CommentReference">
    <w:name w:val="annotation reference"/>
    <w:basedOn w:val="DefaultParagraphFont"/>
    <w:uiPriority w:val="99"/>
    <w:semiHidden/>
    <w:unhideWhenUsed/>
    <w:rsid w:val="00CA4133"/>
    <w:rPr>
      <w:sz w:val="16"/>
      <w:szCs w:val="16"/>
    </w:rPr>
  </w:style>
  <w:style w:type="paragraph" w:styleId="CommentText">
    <w:name w:val="annotation text"/>
    <w:basedOn w:val="Normal"/>
    <w:link w:val="CommentTextChar"/>
    <w:uiPriority w:val="99"/>
    <w:semiHidden/>
    <w:unhideWhenUsed/>
    <w:rsid w:val="00CA4133"/>
    <w:pPr>
      <w:spacing w:line="240" w:lineRule="auto"/>
    </w:pPr>
    <w:rPr>
      <w:sz w:val="20"/>
      <w:szCs w:val="20"/>
    </w:rPr>
  </w:style>
  <w:style w:type="character" w:customStyle="1" w:styleId="CommentTextChar">
    <w:name w:val="Comment Text Char"/>
    <w:basedOn w:val="DefaultParagraphFont"/>
    <w:link w:val="CommentText"/>
    <w:uiPriority w:val="99"/>
    <w:semiHidden/>
    <w:rsid w:val="00CA4133"/>
    <w:rPr>
      <w:sz w:val="20"/>
      <w:szCs w:val="20"/>
    </w:rPr>
  </w:style>
  <w:style w:type="paragraph" w:styleId="CommentSubject">
    <w:name w:val="annotation subject"/>
    <w:basedOn w:val="CommentText"/>
    <w:next w:val="CommentText"/>
    <w:link w:val="CommentSubjectChar"/>
    <w:uiPriority w:val="99"/>
    <w:semiHidden/>
    <w:unhideWhenUsed/>
    <w:rsid w:val="00CA4133"/>
    <w:rPr>
      <w:b/>
      <w:bCs/>
    </w:rPr>
  </w:style>
  <w:style w:type="character" w:customStyle="1" w:styleId="CommentSubjectChar">
    <w:name w:val="Comment Subject Char"/>
    <w:basedOn w:val="CommentTextChar"/>
    <w:link w:val="CommentSubject"/>
    <w:uiPriority w:val="99"/>
    <w:semiHidden/>
    <w:rsid w:val="00CA4133"/>
    <w:rPr>
      <w:b/>
      <w:bCs/>
      <w:sz w:val="20"/>
      <w:szCs w:val="20"/>
    </w:rPr>
  </w:style>
  <w:style w:type="character" w:styleId="Hyperlink">
    <w:name w:val="Hyperlink"/>
    <w:basedOn w:val="DefaultParagraphFont"/>
    <w:uiPriority w:val="99"/>
    <w:unhideWhenUsed/>
    <w:rsid w:val="00AE2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467636">
      <w:bodyDiv w:val="1"/>
      <w:marLeft w:val="0"/>
      <w:marRight w:val="0"/>
      <w:marTop w:val="0"/>
      <w:marBottom w:val="0"/>
      <w:divBdr>
        <w:top w:val="none" w:sz="0" w:space="0" w:color="auto"/>
        <w:left w:val="none" w:sz="0" w:space="0" w:color="auto"/>
        <w:bottom w:val="none" w:sz="0" w:space="0" w:color="auto"/>
        <w:right w:val="none" w:sz="0" w:space="0" w:color="auto"/>
      </w:divBdr>
    </w:div>
    <w:div w:id="895967169">
      <w:bodyDiv w:val="1"/>
      <w:marLeft w:val="0"/>
      <w:marRight w:val="0"/>
      <w:marTop w:val="0"/>
      <w:marBottom w:val="0"/>
      <w:divBdr>
        <w:top w:val="none" w:sz="0" w:space="0" w:color="auto"/>
        <w:left w:val="none" w:sz="0" w:space="0" w:color="auto"/>
        <w:bottom w:val="none" w:sz="0" w:space="0" w:color="auto"/>
        <w:right w:val="none" w:sz="0" w:space="0" w:color="auto"/>
      </w:divBdr>
    </w:div>
    <w:div w:id="1007442548">
      <w:bodyDiv w:val="1"/>
      <w:marLeft w:val="0"/>
      <w:marRight w:val="0"/>
      <w:marTop w:val="0"/>
      <w:marBottom w:val="0"/>
      <w:divBdr>
        <w:top w:val="none" w:sz="0" w:space="0" w:color="auto"/>
        <w:left w:val="none" w:sz="0" w:space="0" w:color="auto"/>
        <w:bottom w:val="none" w:sz="0" w:space="0" w:color="auto"/>
        <w:right w:val="none" w:sz="0" w:space="0" w:color="auto"/>
      </w:divBdr>
    </w:div>
    <w:div w:id="1149588636">
      <w:bodyDiv w:val="1"/>
      <w:marLeft w:val="0"/>
      <w:marRight w:val="0"/>
      <w:marTop w:val="0"/>
      <w:marBottom w:val="0"/>
      <w:divBdr>
        <w:top w:val="none" w:sz="0" w:space="0" w:color="auto"/>
        <w:left w:val="none" w:sz="0" w:space="0" w:color="auto"/>
        <w:bottom w:val="none" w:sz="0" w:space="0" w:color="auto"/>
        <w:right w:val="none" w:sz="0" w:space="0" w:color="auto"/>
      </w:divBdr>
    </w:div>
    <w:div w:id="1175461793">
      <w:bodyDiv w:val="1"/>
      <w:marLeft w:val="0"/>
      <w:marRight w:val="0"/>
      <w:marTop w:val="0"/>
      <w:marBottom w:val="0"/>
      <w:divBdr>
        <w:top w:val="none" w:sz="0" w:space="0" w:color="auto"/>
        <w:left w:val="none" w:sz="0" w:space="0" w:color="auto"/>
        <w:bottom w:val="none" w:sz="0" w:space="0" w:color="auto"/>
        <w:right w:val="none" w:sz="0" w:space="0" w:color="auto"/>
      </w:divBdr>
    </w:div>
    <w:div w:id="1496842843">
      <w:bodyDiv w:val="1"/>
      <w:marLeft w:val="0"/>
      <w:marRight w:val="0"/>
      <w:marTop w:val="0"/>
      <w:marBottom w:val="0"/>
      <w:divBdr>
        <w:top w:val="none" w:sz="0" w:space="0" w:color="auto"/>
        <w:left w:val="none" w:sz="0" w:space="0" w:color="auto"/>
        <w:bottom w:val="none" w:sz="0" w:space="0" w:color="auto"/>
        <w:right w:val="none" w:sz="0" w:space="0" w:color="auto"/>
      </w:divBdr>
    </w:div>
    <w:div w:id="1586916733">
      <w:bodyDiv w:val="1"/>
      <w:marLeft w:val="0"/>
      <w:marRight w:val="0"/>
      <w:marTop w:val="0"/>
      <w:marBottom w:val="0"/>
      <w:divBdr>
        <w:top w:val="none" w:sz="0" w:space="0" w:color="auto"/>
        <w:left w:val="none" w:sz="0" w:space="0" w:color="auto"/>
        <w:bottom w:val="none" w:sz="0" w:space="0" w:color="auto"/>
        <w:right w:val="none" w:sz="0" w:space="0" w:color="auto"/>
      </w:divBdr>
    </w:div>
    <w:div w:id="1973171186">
      <w:bodyDiv w:val="1"/>
      <w:marLeft w:val="0"/>
      <w:marRight w:val="0"/>
      <w:marTop w:val="0"/>
      <w:marBottom w:val="0"/>
      <w:divBdr>
        <w:top w:val="none" w:sz="0" w:space="0" w:color="auto"/>
        <w:left w:val="none" w:sz="0" w:space="0" w:color="auto"/>
        <w:bottom w:val="none" w:sz="0" w:space="0" w:color="auto"/>
        <w:right w:val="none" w:sz="0" w:space="0" w:color="auto"/>
      </w:divBdr>
    </w:div>
    <w:div w:id="201657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image" Target="media/image4.emf"/><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publications/2017-european-semester-country-reports_en" TargetMode="External"/><Relationship Id="rId2" Type="http://schemas.openxmlformats.org/officeDocument/2006/relationships/hyperlink" Target="https://ec.europa.eu/info/business-economy-euro/economic-performance-and-forecasts/economic-forecasts/spring-2017-economic-forecast_en" TargetMode="External"/><Relationship Id="rId1" Type="http://schemas.openxmlformats.org/officeDocument/2006/relationships/hyperlink" Target="https://ec.europa.eu/info/2017-european-semester-national-reform-programmes-and-stability-convergence-programmes_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onieja.NET1\AppData\Local\Microsoft\Windows\Temporary%20Internet%20Files\Content.Outlook\PTHH6QSK\20170512%20CSR%20graphs%20Chapea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pieChart>
        <c:varyColors val="1"/>
        <c:ser>
          <c:idx val="0"/>
          <c:order val="0"/>
          <c:dPt>
            <c:idx val="0"/>
            <c:bubble3D val="0"/>
            <c:spPr>
              <a:solidFill>
                <a:schemeClr val="accent3">
                  <a:lumMod val="20000"/>
                  <a:lumOff val="80000"/>
                </a:schemeClr>
              </a:solidFill>
            </c:spPr>
          </c:dPt>
          <c:dPt>
            <c:idx val="1"/>
            <c:bubble3D val="0"/>
            <c:spPr>
              <a:solidFill>
                <a:schemeClr val="accent3">
                  <a:lumMod val="40000"/>
                  <a:lumOff val="60000"/>
                </a:schemeClr>
              </a:solidFill>
            </c:spPr>
          </c:dPt>
          <c:dPt>
            <c:idx val="2"/>
            <c:bubble3D val="0"/>
            <c:spPr>
              <a:solidFill>
                <a:schemeClr val="accent3">
                  <a:lumMod val="75000"/>
                  <a:alpha val="70000"/>
                </a:schemeClr>
              </a:solidFill>
            </c:spPr>
          </c:dPt>
          <c:dPt>
            <c:idx val="3"/>
            <c:bubble3D val="0"/>
            <c:spPr>
              <a:solidFill>
                <a:schemeClr val="accent3">
                  <a:lumMod val="75000"/>
                </a:schemeClr>
              </a:solidFill>
            </c:spPr>
          </c:dPt>
          <c:dPt>
            <c:idx val="4"/>
            <c:bubble3D val="0"/>
            <c:spPr>
              <a:solidFill>
                <a:schemeClr val="accent3">
                  <a:lumMod val="50000"/>
                </a:schemeClr>
              </a:solidFill>
            </c:spPr>
          </c:dPt>
          <c:dLbls>
            <c:dLbl>
              <c:idx val="0"/>
              <c:layout>
                <c:manualLayout>
                  <c:x val="3.8001204472728582E-2"/>
                  <c:y val="8.130081300813009E-3"/>
                </c:manualLayout>
              </c:layout>
              <c:showLegendKey val="0"/>
              <c:showVal val="0"/>
              <c:showCatName val="1"/>
              <c:showSerName val="0"/>
              <c:showPercent val="1"/>
              <c:showBubbleSize val="0"/>
            </c:dLbl>
            <c:dLbl>
              <c:idx val="2"/>
              <c:layout>
                <c:manualLayout>
                  <c:x val="0.11689057275374824"/>
                  <c:y val="-0.23798334151320516"/>
                </c:manualLayout>
              </c:layout>
              <c:showLegendKey val="0"/>
              <c:showVal val="0"/>
              <c:showCatName val="1"/>
              <c:showSerName val="0"/>
              <c:showPercent val="1"/>
              <c:showBubbleSize val="0"/>
            </c:dLbl>
            <c:dLbl>
              <c:idx val="3"/>
              <c:layout>
                <c:manualLayout>
                  <c:x val="0.13870833782763456"/>
                  <c:y val="0.12324890283023565"/>
                </c:manualLayout>
              </c:layout>
              <c:showLegendKey val="0"/>
              <c:showVal val="0"/>
              <c:showCatName val="1"/>
              <c:showSerName val="0"/>
              <c:showPercent val="1"/>
              <c:showBubbleSize val="0"/>
            </c:dLbl>
            <c:dLbl>
              <c:idx val="4"/>
              <c:layout>
                <c:manualLayout>
                  <c:x val="-8.2340632078524434E-2"/>
                  <c:y val="6.3233965672990066E-3"/>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'pie chart'!$K$2:$K$6</c:f>
              <c:strCache>
                <c:ptCount val="5"/>
                <c:pt idx="0">
                  <c:v>No Progress</c:v>
                </c:pt>
                <c:pt idx="1">
                  <c:v>Limited Progress</c:v>
                </c:pt>
                <c:pt idx="2">
                  <c:v>Some Progress</c:v>
                </c:pt>
                <c:pt idx="3">
                  <c:v>Substantial Progress</c:v>
                </c:pt>
                <c:pt idx="4">
                  <c:v>Full Implementation</c:v>
                </c:pt>
              </c:strCache>
            </c:strRef>
          </c:cat>
          <c:val>
            <c:numRef>
              <c:f>'pie chart'!$O$2:$O$6</c:f>
              <c:numCache>
                <c:formatCode>0%</c:formatCode>
                <c:ptCount val="5"/>
                <c:pt idx="0">
                  <c:v>5.0666666666666665E-2</c:v>
                </c:pt>
                <c:pt idx="1">
                  <c:v>0.28177777777777779</c:v>
                </c:pt>
                <c:pt idx="2">
                  <c:v>0.42577777777777776</c:v>
                </c:pt>
                <c:pt idx="3">
                  <c:v>0.15022222222222223</c:v>
                </c:pt>
                <c:pt idx="4">
                  <c:v>9.1555555555555557E-2</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538B5-59B1-41E7-81B5-B23B6412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6726</Words>
  <Characters>38747</Characters>
  <Application>Microsoft Office Word</Application>
  <DocSecurity>0</DocSecurity>
  <Lines>691</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2017-05-22T08:09:00Z</dcterms:created>
  <dcterms:modified xsi:type="dcterms:W3CDTF">2017-05-22T08:12:00Z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