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07" w:rsidRDefault="00336825" w:rsidP="0033682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703A71A08A64618BBBA08450601C46F" style="width:450.4pt;height:365.85pt">
            <v:imagedata r:id="rId9" o:title=""/>
          </v:shape>
        </w:pict>
      </w:r>
    </w:p>
    <w:p w:rsidR="00FD7807" w:rsidRDefault="00FD7807">
      <w:pPr>
        <w:rPr>
          <w:noProof/>
        </w:rPr>
        <w:sectPr w:rsidR="00FD7807" w:rsidSect="0033682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D7807" w:rsidRDefault="00FD7807">
      <w:pPr>
        <w:pStyle w:val="Exposdesmotifstitre"/>
        <w:rPr>
          <w:noProof/>
        </w:rPr>
      </w:pPr>
    </w:p>
    <w:p w:rsidR="00FD7807" w:rsidRDefault="00FD7807">
      <w:pPr>
        <w:rPr>
          <w:noProof/>
        </w:rPr>
      </w:pPr>
    </w:p>
    <w:p w:rsidR="00FD7807" w:rsidRDefault="00336825" w:rsidP="00336825">
      <w:pPr>
        <w:pStyle w:val="Statut"/>
        <w:rPr>
          <w:noProof/>
        </w:rPr>
      </w:pPr>
      <w:r w:rsidRPr="00336825">
        <w:t>Σύσταση για</w:t>
      </w:r>
    </w:p>
    <w:p w:rsidR="00FD7807" w:rsidRDefault="00336825" w:rsidP="00336825">
      <w:pPr>
        <w:pStyle w:val="Typedudocument"/>
        <w:rPr>
          <w:noProof/>
        </w:rPr>
      </w:pPr>
      <w:r w:rsidRPr="00336825">
        <w:t>ΣΥΣΤΑΣΗ ΤΟΥ ΣΥΜΒΟΥΛΙΟΥ</w:t>
      </w:r>
    </w:p>
    <w:p w:rsidR="00FD7807" w:rsidRDefault="00336825" w:rsidP="00336825">
      <w:pPr>
        <w:pStyle w:val="Titreobjet"/>
        <w:rPr>
          <w:noProof/>
        </w:rPr>
      </w:pPr>
      <w:r w:rsidRPr="00336825">
        <w:t>σχετικά με το εθνικό πρόγραμμα μεταρρυθμίσεων της Ρουμανίας για το 2017</w:t>
      </w:r>
      <w:r w:rsidRPr="00336825">
        <w:br/>
      </w:r>
      <w:r w:rsidRPr="00336825">
        <w:br/>
        <w:t>και τη διατύπωση γνώμης του Συμβουλίου σχετικά με το πρόγραμμα σύγκλισης της Ρουμανίας για το 2017</w:t>
      </w:r>
    </w:p>
    <w:p w:rsidR="00FD7807" w:rsidRDefault="00336825">
      <w:pPr>
        <w:pStyle w:val="Institutionquiagit"/>
        <w:rPr>
          <w:noProof/>
        </w:rPr>
      </w:pPr>
      <w:r>
        <w:rPr>
          <w:noProof/>
        </w:rPr>
        <w:t>ΤΟ ΣΥΜΒΟΥΛΙΟ ΤΗΣ ΕΥΡΩΠΑΪΚΗΣ ΕΝΩΣΗΣ,</w:t>
      </w:r>
    </w:p>
    <w:p w:rsidR="00FD7807" w:rsidRDefault="00336825">
      <w:pPr>
        <w:rPr>
          <w:noProof/>
        </w:rPr>
      </w:pPr>
      <w:r>
        <w:rPr>
          <w:noProof/>
        </w:rPr>
        <w:t xml:space="preserve">Έχοντας υπόψη τη Συνθήκη για τη λειτουργία της Ευρωπαϊκής Ένωσης, και ιδίως το άρθρο 121 παράγραφος 2 και το άρθρο </w:t>
      </w:r>
      <w:r>
        <w:rPr>
          <w:noProof/>
        </w:rPr>
        <w:t>148 παράγραφος 4,</w:t>
      </w:r>
    </w:p>
    <w:p w:rsidR="00FD7807" w:rsidRDefault="00336825">
      <w:pPr>
        <w:rPr>
          <w:noProof/>
        </w:rPr>
      </w:pPr>
      <w:r>
        <w:rPr>
          <w:noProof/>
        </w:rPr>
        <w:t>Έχοντας υπόψη τον κανονισμό (ΕΚ) αριθ. 1466/97 του Συμβουλίου, της 7ης Ιουλίου 1997, για την ενίσχυση της εποπτείας της δημοσιονομικής κατάστασης και την εποπτεία και το συντονισμό των οικονομικών πολιτικών</w:t>
      </w:r>
      <w:r>
        <w:rPr>
          <w:rStyle w:val="FootnoteReference"/>
          <w:noProof/>
        </w:rPr>
        <w:footnoteReference w:id="1"/>
      </w:r>
      <w:r>
        <w:rPr>
          <w:noProof/>
        </w:rPr>
        <w:t>, και ιδίως το άρθρο 9 παράγραφ</w:t>
      </w:r>
      <w:r>
        <w:rPr>
          <w:noProof/>
        </w:rPr>
        <w:t>ος 2,</w:t>
      </w:r>
    </w:p>
    <w:p w:rsidR="00FD7807" w:rsidRDefault="00336825">
      <w:pPr>
        <w:rPr>
          <w:noProof/>
        </w:rPr>
      </w:pPr>
      <w:r>
        <w:rPr>
          <w:noProof/>
        </w:rPr>
        <w:t>Έχοντας υπόψη τη σύσταση της Ευρωπαϊκής Επιτροπής</w:t>
      </w:r>
      <w:r>
        <w:rPr>
          <w:rStyle w:val="FootnoteReference"/>
          <w:noProof/>
        </w:rPr>
        <w:footnoteReference w:id="2"/>
      </w:r>
      <w:r>
        <w:rPr>
          <w:noProof/>
        </w:rPr>
        <w:t>,</w:t>
      </w:r>
    </w:p>
    <w:p w:rsidR="00FD7807" w:rsidRDefault="00336825">
      <w:pPr>
        <w:rPr>
          <w:noProof/>
        </w:rPr>
      </w:pPr>
      <w:r>
        <w:rPr>
          <w:noProof/>
        </w:rPr>
        <w:t>Έχοντας υπόψη τα ψηφίσματα του Ευρωπαϊκού Κοινοβουλίου</w:t>
      </w:r>
      <w:r>
        <w:rPr>
          <w:rStyle w:val="FootnoteReference"/>
          <w:noProof/>
        </w:rPr>
        <w:footnoteReference w:id="3"/>
      </w:r>
      <w:r>
        <w:rPr>
          <w:noProof/>
        </w:rPr>
        <w:t>,</w:t>
      </w:r>
    </w:p>
    <w:p w:rsidR="00FD7807" w:rsidRDefault="00336825">
      <w:pPr>
        <w:outlineLvl w:val="0"/>
        <w:rPr>
          <w:noProof/>
        </w:rPr>
      </w:pPr>
      <w:r>
        <w:rPr>
          <w:noProof/>
        </w:rPr>
        <w:t>Έχοντας υπόψη τα συμπεράσματα του Ευρωπαϊκού Συμβουλίου,</w:t>
      </w:r>
    </w:p>
    <w:p w:rsidR="00FD7807" w:rsidRDefault="00336825">
      <w:pPr>
        <w:rPr>
          <w:noProof/>
        </w:rPr>
      </w:pPr>
      <w:r>
        <w:rPr>
          <w:noProof/>
        </w:rPr>
        <w:t>Έχοντας υπόψη τη γνώμη της Επιτροπής Απασχόλησης,</w:t>
      </w:r>
    </w:p>
    <w:p w:rsidR="00FD7807" w:rsidRDefault="00336825">
      <w:pPr>
        <w:rPr>
          <w:noProof/>
        </w:rPr>
      </w:pPr>
      <w:r>
        <w:rPr>
          <w:noProof/>
        </w:rPr>
        <w:t>Έχοντας υπόψη τη γνώμη της Οικονομ</w:t>
      </w:r>
      <w:r>
        <w:rPr>
          <w:noProof/>
        </w:rPr>
        <w:t>ικής και Δημοσιονομικής Επιτροπής,</w:t>
      </w:r>
    </w:p>
    <w:p w:rsidR="00FD7807" w:rsidRDefault="00336825">
      <w:pPr>
        <w:rPr>
          <w:noProof/>
        </w:rPr>
      </w:pPr>
      <w:r>
        <w:rPr>
          <w:noProof/>
        </w:rPr>
        <w:t>Έχοντας υπόψη τη γνώμη της Επιτροπής Κοινωνικής Προστασίας,</w:t>
      </w:r>
    </w:p>
    <w:p w:rsidR="00FD7807" w:rsidRDefault="00336825">
      <w:pPr>
        <w:rPr>
          <w:noProof/>
        </w:rPr>
      </w:pPr>
      <w:r>
        <w:rPr>
          <w:noProof/>
        </w:rPr>
        <w:t>Έχοντας υπόψη τη γνώμη της Επιτροπής Οικονομικής Πολιτικής,</w:t>
      </w:r>
    </w:p>
    <w:p w:rsidR="00FD7807" w:rsidRDefault="00336825">
      <w:pPr>
        <w:rPr>
          <w:noProof/>
        </w:rPr>
      </w:pPr>
      <w:r>
        <w:rPr>
          <w:noProof/>
        </w:rPr>
        <w:t>Εκτιμώντας τα ακόλουθα:</w:t>
      </w:r>
    </w:p>
    <w:p w:rsidR="00FD7807" w:rsidRDefault="00336825">
      <w:pPr>
        <w:pStyle w:val="Point0number"/>
        <w:numPr>
          <w:ilvl w:val="0"/>
          <w:numId w:val="1"/>
        </w:numPr>
        <w:rPr>
          <w:noProof/>
        </w:rPr>
      </w:pPr>
      <w:r>
        <w:rPr>
          <w:noProof/>
        </w:rPr>
        <w:t xml:space="preserve">Στις 16 Νοεμβρίου 2016, η Επιτροπή εξέδωσε την Ετήσια Επισκόπηση της </w:t>
      </w:r>
      <w:r>
        <w:rPr>
          <w:noProof/>
        </w:rPr>
        <w:t>Ανάπτυξης</w:t>
      </w:r>
      <w:r>
        <w:rPr>
          <w:rStyle w:val="FootnoteReference"/>
          <w:noProof/>
        </w:rPr>
        <w:footnoteReference w:id="4"/>
      </w:r>
      <w:r>
        <w:rPr>
          <w:noProof/>
        </w:rPr>
        <w:t>, με την οποία σηματοδοτήθηκε η έναρξη του Ευρωπαϊκού Εξαμήνου του 2017 σχετικά με τον συντονισμό των οικονομικών πολιτικών. Οι προτεραιότητες της Ετήσιας Επισκόπησης της Ανάπτυξης εγκρίθηκαν από το Ευρωπαϊκό Συμβούλιο στις 9-10 Μαρτίου 2017. Στι</w:t>
      </w:r>
      <w:r>
        <w:rPr>
          <w:noProof/>
        </w:rPr>
        <w:t>ς 16 Νοεμβρίου 2016, βάσει του κανονισμού (ΕΕ) αριθ. 1176/2011, η Επιτροπή ενέκρινε την έκθεση του μηχανισμού επαγρύπνησης</w:t>
      </w:r>
      <w:r>
        <w:rPr>
          <w:rStyle w:val="FootnoteReference"/>
          <w:noProof/>
        </w:rPr>
        <w:footnoteReference w:id="5"/>
      </w:r>
      <w:r>
        <w:rPr>
          <w:noProof/>
        </w:rPr>
        <w:t>, στην οποία η Ρουμανία δεν συγκαταλέγεται μεταξύ των κρατών μελών για τα οποία επρόκειτο να πραγματοποιηθεί εμπεριστατωμένη επισκόπη</w:t>
      </w:r>
      <w:r>
        <w:rPr>
          <w:noProof/>
        </w:rPr>
        <w:t xml:space="preserve">ση. </w:t>
      </w:r>
    </w:p>
    <w:p w:rsidR="00FD7807" w:rsidRDefault="00336825">
      <w:pPr>
        <w:pStyle w:val="Point0number"/>
        <w:numPr>
          <w:ilvl w:val="0"/>
          <w:numId w:val="1"/>
        </w:numPr>
        <w:rPr>
          <w:noProof/>
        </w:rPr>
      </w:pPr>
      <w:r>
        <w:rPr>
          <w:noProof/>
        </w:rPr>
        <w:t>Η έκθεση χώρας του 2017 για τη Ρουμανία</w:t>
      </w:r>
      <w:r>
        <w:rPr>
          <w:rStyle w:val="FootnoteReference"/>
          <w:noProof/>
        </w:rPr>
        <w:footnoteReference w:id="6"/>
      </w:r>
      <w:r>
        <w:rPr>
          <w:noProof/>
        </w:rPr>
        <w:t xml:space="preserve"> δημοσιεύθηκε στις 22 Φεβρουαρίου 2017. Στην έκθεση αξιολογήθηκε η πρόοδος της Ρουμανίας όσον αφορά την εφαρμογή των ειδικών ανά χώρα συστάσεων που εκδόθηκαν από το Συμβούλιο στις </w:t>
      </w:r>
      <w:r>
        <w:rPr>
          <w:noProof/>
        </w:rPr>
        <w:lastRenderedPageBreak/>
        <w:t>12 Ιουλίου 2016, η συνέχεια που</w:t>
      </w:r>
      <w:r>
        <w:rPr>
          <w:noProof/>
        </w:rPr>
        <w:t xml:space="preserve"> δόθηκε στις συστάσεις που είχαν εκδοθεί κατά τα προηγούμενα έτη και η πρόοδος της Ρουμανίας ως προς την επίτευξη των εθνικών στόχων στο πλαίσιο της στρατηγικής «Ευρώπη 2020».</w:t>
      </w:r>
    </w:p>
    <w:p w:rsidR="00FD7807" w:rsidRDefault="00336825">
      <w:pPr>
        <w:pStyle w:val="Point0number"/>
        <w:rPr>
          <w:noProof/>
        </w:rPr>
      </w:pPr>
      <w:r>
        <w:rPr>
          <w:noProof/>
        </w:rPr>
        <w:t xml:space="preserve">Στις 5 Μαΐου 2017, η Ρουμανία υπέβαλε το εθνικό πρόγραμμα μεταρρυθμίσεων για το </w:t>
      </w:r>
      <w:r>
        <w:rPr>
          <w:noProof/>
        </w:rPr>
        <w:t>2017 και το πρόγραμμα σύγκλισης για το 2017. Προκειμένου να ληφθεί υπόψη η διασύνδεσή τους, τα δύο προγράμματα αξιολογήθηκαν ταυτοχρόνως.</w:t>
      </w:r>
    </w:p>
    <w:p w:rsidR="00FD7807" w:rsidRDefault="00336825">
      <w:pPr>
        <w:pStyle w:val="Point0number"/>
        <w:rPr>
          <w:noProof/>
        </w:rPr>
      </w:pPr>
      <w:r>
        <w:rPr>
          <w:noProof/>
        </w:rPr>
        <w:t>Οι σχετικές ειδικές ανά χώρα συστάσεις ελήφθησαν υπόψη στα προγράμματα των κρατών μελών για τα Ευρωπαϊκά Διαρθρωτικά κ</w:t>
      </w:r>
      <w:r>
        <w:rPr>
          <w:noProof/>
        </w:rPr>
        <w:t>αι Επενδυτικά Ταμεία (ΕΔΕΤ) που καλύπτουν την περίοδο 2014-2020. Όπως προβλέπεται στη νομοθεσία που διέπει τα ΕΔΕΤ</w:t>
      </w:r>
      <w:r>
        <w:rPr>
          <w:rStyle w:val="FootnoteReference"/>
          <w:noProof/>
        </w:rPr>
        <w:footnoteReference w:id="7"/>
      </w:r>
      <w:r>
        <w:rPr>
          <w:noProof/>
        </w:rPr>
        <w:t>, όταν είναι αναγκαίο για τη στήριξη της εφαρμογής των σχετικών ειδικών ανά χώρα συστάσεων, η Επιτροπή μπορεί να ζητήσει από ένα κράτος μέλος</w:t>
      </w:r>
      <w:r>
        <w:rPr>
          <w:noProof/>
        </w:rPr>
        <w:t xml:space="preserve"> να επανεξετάσει και να τροποποιήσει τα οικεία προγράμματα ΕΔΕΤ. Η Επιτροπή έχει παράσχει περαιτέρω κατευθυντήριες γραμμές σχετικά με την εφαρμογή των εν λόγω κανόνων</w:t>
      </w:r>
      <w:r>
        <w:rPr>
          <w:rStyle w:val="FootnoteReference"/>
          <w:noProof/>
        </w:rPr>
        <w:footnoteReference w:id="8"/>
      </w:r>
      <w:r>
        <w:rPr>
          <w:noProof/>
        </w:rPr>
        <w:t>.</w:t>
      </w:r>
    </w:p>
    <w:p w:rsidR="00FD7807" w:rsidRDefault="00336825">
      <w:pPr>
        <w:pStyle w:val="Point0number"/>
        <w:rPr>
          <w:noProof/>
        </w:rPr>
      </w:pPr>
      <w:r>
        <w:rPr>
          <w:noProof/>
        </w:rPr>
        <w:t>Μεταξύ του 2009 και του 2015, η Ρουμανία επωφελήθηκε από τρία προγράμματα συνδρομής για</w:t>
      </w:r>
      <w:r>
        <w:rPr>
          <w:noProof/>
        </w:rPr>
        <w:t xml:space="preserve"> τη στήριξη του ισοζυγίου πληρωμών που διαχειρίστηκαν από κοινού η Επιτροπή και το Διεθνές Νομισματικό Ταμείο με τη στήριξη της Παγκόσμιας Τράπεζας. Εκταμιεύσεις πραγματοποιήθηκαν μόνο στο πλαίσιο του πρώτου προγράμματος κατά την περίοδο 2009-2011, ενώ η σ</w:t>
      </w:r>
      <w:r>
        <w:rPr>
          <w:noProof/>
        </w:rPr>
        <w:t>υνδρομή για το 2011-13 και το 2013-15 ήταν προληπτική. Η εποπτεία μετά το πρόγραμμα εξ ονόματος της Επιτροπής για την παρακολούθηση της ικανότητας της Ρουμανίας να αποπληρώσει τα δάνεια που χορηγήθηκαν στο πλαίσιο του πρώτου προγράμματος άρχισε τον Οκτώβρι</w:t>
      </w:r>
      <w:r>
        <w:rPr>
          <w:noProof/>
        </w:rPr>
        <w:t xml:space="preserve">ο του 2015 και θα συνεχιστεί μέχρι την αποπληρωμή του 70% τουλάχιστον του δανείου, που αναμένεται να συμβεί την άνοιξη του 2018. </w:t>
      </w:r>
    </w:p>
    <w:p w:rsidR="00FD7807" w:rsidRDefault="00336825">
      <w:pPr>
        <w:pStyle w:val="Point0number"/>
        <w:rPr>
          <w:noProof/>
        </w:rPr>
      </w:pPr>
      <w:r>
        <w:rPr>
          <w:noProof/>
        </w:rPr>
        <w:t>Η Ρουμανία υπάγεται επί του παρόντος στο προληπτικό σκέλος του Συμφώνου Σταθερότητας και Ανάπτυξης. Στο πρόγραμμα σύγκλισης το</w:t>
      </w:r>
      <w:r>
        <w:rPr>
          <w:noProof/>
        </w:rPr>
        <w:t>υ 2017, η κυβέρνηση σχεδιάζει ονομαστικό έλλειμμα 2,9% του ΑΕΠ τόσο το 2017 όσο και το 2018 και σταδιακή μείωσή του στη συνέχεια σε 2,0% του ΑΕΠ έως το 2020. Ο μεσοπρόθεσμος δημοσιονομικός στόχος, διαρθρωτικό έλλειμμα της τάξης του 1% του ΑΕΠ, δεν αναμένετ</w:t>
      </w:r>
      <w:r>
        <w:rPr>
          <w:noProof/>
        </w:rPr>
        <w:t>αι να επιτευχθεί έως το 2020, δηλαδή εντός του χρονικού ορίζοντα του προγράμματος. Το εκ νέου υπολογισθέν</w:t>
      </w:r>
      <w:r>
        <w:rPr>
          <w:rStyle w:val="FootnoteReference"/>
          <w:noProof/>
        </w:rPr>
        <w:footnoteReference w:id="9"/>
      </w:r>
      <w:r>
        <w:rPr>
          <w:noProof/>
        </w:rPr>
        <w:t xml:space="preserve"> διαρθρωτικό ισοζύγιο αναμένεται να φθάσει το -2,6% έως το 2020. Σύμφωνα με το πρόγραμμα σύγκλισης, ο δείκτης του δημόσιου χρέους προς το ΑΕΠ αναμένετ</w:t>
      </w:r>
      <w:r>
        <w:rPr>
          <w:noProof/>
        </w:rPr>
        <w:t>αι να αυξηθεί από 37,6% του ΑΕΠ το 2016 σε 38,3% του ΑΕΠ το 2018 και να μειωθεί στη συνέχεια σε 37,6% του ΑΕΠ το 2020. Το μακροοικονομικό σενάριο στο οποίο στηρίζονται οι εν λόγω δημοσιονομικές προβλέψεις είναι ευνοϊκό. Ο κύριος κίνδυνος δυσμενούς εξέλιξης</w:t>
      </w:r>
      <w:r>
        <w:rPr>
          <w:noProof/>
        </w:rPr>
        <w:t xml:space="preserve"> της μακροοικονομικής προοπτικής απορρέει από τον χαμηλότερο αντίκτυπο των δημοσιονομικών και διαρθρωτικών μέτρων στις άμεσες και τις μεσοπρόθεσμες προοπτικές ανάπτυξης. Συγχρόνως, δεν έχουν προσδιοριστεί επαρκώς τα αναγκαία μέτρα στήριξης των προβλεπόμενω</w:t>
      </w:r>
      <w:r>
        <w:rPr>
          <w:noProof/>
        </w:rPr>
        <w:t>ν στόχων για το έλλειμμα. Επιπλέον, το σχέδιο νόμου για το ενιαίο μισθολόγιο συνιστά σημαντικό κίνδυνο δυσμενούς εξέλιξης σε σχέση με τις δημοσιονομικές προβλέψεις.</w:t>
      </w:r>
    </w:p>
    <w:p w:rsidR="00FD7807" w:rsidRDefault="00336825">
      <w:pPr>
        <w:pStyle w:val="Point0number"/>
        <w:rPr>
          <w:noProof/>
        </w:rPr>
      </w:pPr>
      <w:r>
        <w:rPr>
          <w:noProof/>
        </w:rPr>
        <w:t>Στις 12 Ιουλίου 2016, το Συμβούλιο συνέστησε στη Ρουμανία να περιορίσει την απόκλιση από το</w:t>
      </w:r>
      <w:r>
        <w:rPr>
          <w:noProof/>
        </w:rPr>
        <w:t xml:space="preserve">ν μεσοπρόθεσμο δημοσιονομικό στόχο το 2016 και να επιτύχει ετήσια δημοσιονομική προσαρμογή 0,5% του ΑΕΠ το 2017, εκτός εάν ο μεσοπρόθεσμος δημοσιονομικός στόχος τηρηθεί με μικρότερη προσπάθεια. Με βάση τα απολογιστικά στοιχεία για το 2016 διαπιστώθηκε ότι </w:t>
      </w:r>
      <w:r>
        <w:rPr>
          <w:noProof/>
        </w:rPr>
        <w:t>η Ρουμανία παρουσιάζει σημαντική απόκλιση από τον μεσοπρόθεσμο δημοσιονομικό στόχο. Σύμφωνα με το άρθρο 121 παράγραφος 4 της ΣΛΕΕ και το άρθρο 10 παράγραφος 2 του κανονισμού (ΕΚ) αριθ. 1466/97 του Συμβουλίου, η Επιτροπή εξέδωσε προειδοποίηση προς τη Ρουμαν</w:t>
      </w:r>
      <w:r>
        <w:rPr>
          <w:noProof/>
        </w:rPr>
        <w:t>ία, στις 22 Μαΐου 2017, ότι το 2016 παρατηρήθηκε σημαντική απόκλιση από τον μεσοπρόθεσμο δημοσιονομικό στόχο. [Στις ΧΧ, το Συμβούλιο εξέδωσε στη συνέχεια σύσταση, με την οποία επιβεβαιώνει την ανάγκη η Ρουμανία να λάβει τα αναγκαία μέτρα για να διασφαλίσει</w:t>
      </w:r>
      <w:r>
        <w:rPr>
          <w:noProof/>
        </w:rPr>
        <w:t xml:space="preserve"> ότι ο ονομαστικός ρυθμός αύξησης των καθαρών πρωτογενών δημόσιων δαπανών</w:t>
      </w:r>
      <w:r>
        <w:rPr>
          <w:rStyle w:val="FootnoteReference"/>
          <w:noProof/>
        </w:rPr>
        <w:footnoteReference w:id="10"/>
      </w:r>
      <w:r>
        <w:rPr>
          <w:noProof/>
        </w:rPr>
        <w:t xml:space="preserve"> δεν θα υπερβεί το 3,3% το 2017, ποσοστό που αντιστοιχεί σε ετήσια διαρθρωτική προσαρμογή ύψους 0,5% του ΑΕΠ.] Με βάση τις εαρινές προβλέψεις της Επιτροπής του 2017, υπάρχει κίνδυνος</w:t>
      </w:r>
      <w:r>
        <w:rPr>
          <w:noProof/>
        </w:rPr>
        <w:t xml:space="preserve"> σημαντικής απόκλισης από τη συνιστώμενη προσαρμογή το 2017. </w:t>
      </w:r>
    </w:p>
    <w:p w:rsidR="00FD7807" w:rsidRDefault="00336825">
      <w:pPr>
        <w:pStyle w:val="Point0number"/>
        <w:rPr>
          <w:noProof/>
        </w:rPr>
      </w:pPr>
      <w:r>
        <w:rPr>
          <w:noProof/>
        </w:rPr>
        <w:t>Το 2018, με βάση τη δημοσιονομική κατάσταση της χώρας, αναμένεται περαιτέρω προσαρμογή της Ρουμανίας προς την κατεύθυνση της επίτευξης του μεσοπρόθεσμου δημοσιονομικού στόχου της για διαρθρωτικό</w:t>
      </w:r>
      <w:r>
        <w:rPr>
          <w:noProof/>
        </w:rPr>
        <w:t xml:space="preserve"> έλλειμμα 1% του ΑΕΠ. Σύμφωνα με τον από κοινού συμφωνηθέντα πίνακα προσαρμογής στο πλαίσιο του Συμφώνου Σταθερότητας και Ανάπτυξης, η εν λόγω προσαρμογή μεταφράζεται σε απαίτηση για ονομαστικό ρυθμό αύξησης των καθαρών πρωτογενών δημόσιων δαπανών που δεν </w:t>
      </w:r>
      <w:r>
        <w:rPr>
          <w:noProof/>
        </w:rPr>
        <w:t>θα υπερβεί το 4,3%. Θα αντιστοιχεί σε διαρθρωτική προσαρμογή της τάξης του 0,5% του ΑΕΠ. Σε περίπτωση μη αλλαγής των πολιτικών, υπάρχει κίνδυνος σημαντικής απόκλισης από την απαίτηση αυτή το 2018. Επιπλέον, σύμφωνα με τις εαρινές προβλέψεις της Επιτροπής τ</w:t>
      </w:r>
      <w:r>
        <w:rPr>
          <w:noProof/>
        </w:rPr>
        <w:t>ου 2017, το έλλειμμα της γενικής κυβέρνησης θα ανέλθει σε 3,5% και 3,7% του ΑΕΠ για το 2017 και το 2018 αντίστοιχα, το οποίο υπερβαίνει την τιμή αναφοράς του 3% του ΑΕΠ που προβλέπει η Συνθήκη. Συνολικά, το Συμβούλιο είναι της γνώμης ότι θα χρειαστούν σημα</w:t>
      </w:r>
      <w:r>
        <w:rPr>
          <w:noProof/>
        </w:rPr>
        <w:t>ντικά περαιτέρω μέτρα από το 2017 για συμμόρφωση με τις διατάξεις του Συμφώνου Σταθερότητας και Ανάπτυξης, λαμβανομένης υπόψη της έντονης επιδείνωσης των δημοσιονομικών προοπτικών[, σύμφωνα με τη σύσταση που απευθύνθηκε στη Ρουμανία στις XX με σκοπό τη διό</w:t>
      </w:r>
      <w:r>
        <w:rPr>
          <w:noProof/>
        </w:rPr>
        <w:t>ρθωση της σημαντικής απόκλισης από την πορεία προσαρμογής προς την κατεύθυνση της επίτευξης του μεσοπρόθεσμου δημοσιονομικού στόχου].</w:t>
      </w:r>
    </w:p>
    <w:p w:rsidR="00FD7807" w:rsidRDefault="00336825">
      <w:pPr>
        <w:pStyle w:val="Point0number"/>
        <w:rPr>
          <w:noProof/>
        </w:rPr>
      </w:pPr>
      <w:r>
        <w:rPr>
          <w:noProof/>
        </w:rPr>
        <w:t>Το δημοσιονομικό πλαίσιο της Ρουμανίας είναι υγιές, αλλά δεν τηρείται πλήρως. Ο προϋπολογισμός του 2016 παρουσίασε σημαντι</w:t>
      </w:r>
      <w:r>
        <w:rPr>
          <w:noProof/>
        </w:rPr>
        <w:t xml:space="preserve">κή απόκλιση από τον μεσοπρόθεσμο στόχο για διαρθρωτικό έλλειμμα της τάξης του 1% του ΑΕΠ, παραβαίνοντας τον κανόνα περί ελλείμματος στο εθνικό δημοσιονομικό πλαίσιο. Ο προϋπολογισμός του 2017 παρουσίασε περαιτέρω απόκλιση από τους εθνικούς δημοσιονομικούς </w:t>
      </w:r>
      <w:r>
        <w:rPr>
          <w:noProof/>
        </w:rPr>
        <w:t>κανόνες. Το 2016, όπως και κατά τα προηγούμενα έτη, οι αρχές δεν διαβίβασαν αναπροσαρμογή της δημοσιονομικής στρατηγικής στο Κοινοβούλιο εντός του Αυγούστου, εντός δηλαδή της εκ του νόμου προβλεπομένης προθεσμίας. Ως εκ τούτου, η μεσοπρόθεσμη δημοσιονομική</w:t>
      </w:r>
      <w:r>
        <w:rPr>
          <w:noProof/>
        </w:rPr>
        <w:t xml:space="preserve"> στρατηγική δεν έχει αποτελέσει τον γνώμονα για την ετήσια διαδικασία του προϋπολογισμού.</w:t>
      </w:r>
    </w:p>
    <w:p w:rsidR="00FD7807" w:rsidRDefault="00336825">
      <w:pPr>
        <w:pStyle w:val="Point0number"/>
        <w:rPr>
          <w:noProof/>
        </w:rPr>
      </w:pPr>
      <w:r>
        <w:rPr>
          <w:noProof/>
        </w:rPr>
        <w:t xml:space="preserve">Λόγω των άνετων κεφαλαιακών αποθεμάτων ασφαλείας και της αυξημένης κερδοφορίας, η ευρωστία του τραπεζικού τομέα εξακολούθησε να βελτιώνεται το 2016. Οι αρχές </w:t>
      </w:r>
      <w:r>
        <w:rPr>
          <w:noProof/>
        </w:rPr>
        <w:t>δεσμεύτηκαν να προβούν σε διεξοδική επισκόπηση της ποιότητας των στοιχείων ενεργητικού και σε άσκηση προσομοίωσης ακραίων καταστάσεων του τραπεζικού τομέα το 2018. Ο νόμος περί απαλλαγής από χρέη άρχισε να ισχύει τον Μάιο του 2016, αλλά οι κίνδυνοι για τον</w:t>
      </w:r>
      <w:r>
        <w:rPr>
          <w:noProof/>
        </w:rPr>
        <w:t xml:space="preserve"> τραπεζικό τομέα έχουν περιοριστεί σε μεγάλο βαθμό από μια απόφαση του συνταγματικού δικαστηρίου που ορίζει ότι τα δικαστήρια θα πρέπει να αξιολογούν εάν οι δανειολήπτες συμμορφώνονται με τις νομικές διατάξεις περί οικονομικών δυσχερειών. Ο νόμος περί μετα</w:t>
      </w:r>
      <w:r>
        <w:rPr>
          <w:noProof/>
        </w:rPr>
        <w:t>τροπής δανείων σε CHF που θέσπισε το Κοινοβούλιο τον Οκτώβριο του 2016 κρίθηκε πρόσφατα αντισυνταγματικός. Ωστόσο, οι επαναλαμβανόμενες νομοθετικές πρωτοβουλίες εξακολουθούν να συνιστούν απειλή για την προβλεψιμότητα του δικαίου, με πιθανές αρνητικές επιπτ</w:t>
      </w:r>
      <w:r>
        <w:rPr>
          <w:noProof/>
        </w:rPr>
        <w:t>ώσεις στην ψυχολογία των επενδυτών.</w:t>
      </w:r>
    </w:p>
    <w:p w:rsidR="00FD7807" w:rsidRDefault="00336825">
      <w:pPr>
        <w:pStyle w:val="Point0number"/>
        <w:rPr>
          <w:noProof/>
        </w:rPr>
      </w:pPr>
      <w:r>
        <w:rPr>
          <w:noProof/>
        </w:rPr>
        <w:t>Η φοροδιαφυγή στη Ρουμανία είναι διαδεδομένη και οδηγεί σε μείωση των φορολογικών εσόδων και της φορολογικής δικαιοσύνης, καθώς και σε στρέβλωση της οικονομίας. Η Ρουμανία έχει σημειώσει περιορισμένη πρόοδο όσον αφορά τη</w:t>
      </w:r>
      <w:r>
        <w:rPr>
          <w:noProof/>
        </w:rPr>
        <w:t>ν ειδική για τη χώρα σύσταση για ενίσχυση της φορολογικής συμμόρφωσης και της είσπραξης των φόρων. Το 2016, οι διαδικασίες για την εγγραφή στα μητρώα ΦΠΑ και την επιστροφή ΦΠΑ τροποποιήθηκαν, ενώ σε εξέλιξη βρίσκεται και η εγκατάσταση σε ολόκληρη τη χώρα η</w:t>
      </w:r>
      <w:r>
        <w:rPr>
          <w:noProof/>
        </w:rPr>
        <w:t>λεκτρονικών ταμειακών μηχανών που συνδέονται με την εφορία. Από το 2017 εφαρμόζεται ειδικό καθεστώς σε τομείς όπως τα ξενοδοχεία, η εστίαση και άλλοι συναφείς κλάδοι, όπου ο φόρος καθορίζεται ανεξάρτητα από την κλίμακα των εσόδων. Επιπλέον, εγκρίθηκαν περι</w:t>
      </w:r>
      <w:r>
        <w:rPr>
          <w:noProof/>
        </w:rPr>
        <w:t>ορισμοί σχετικά με την αυτοαπασχόληση και τις οικογενειακές επιχειρήσεις, για την αποθάρρυνση της φοροαποφυγής. Το 2016 παρατηρήθηκε βελτίωση ως προς τη συμμόρφωση, για τις φορολογικές δηλώσεις και την καταβολή φόρων, αλλά οι κοινοί φορολογικοί και εργασια</w:t>
      </w:r>
      <w:r>
        <w:rPr>
          <w:noProof/>
        </w:rPr>
        <w:t>κοί έλεγχοι και επιθεωρήσεις δεν μπόρεσαν να αποφέρουν καλύτερα αποτελέσματα. Επιπλέον, το όριο κύκλου εργασιών για το φορολογικό καθεστώς των πολύ μικρών επιχειρήσεων αυξήθηκε σημαντικά, ενώ μειώθηκε ο συντελεστής, επιτρέποντας έτσι τη φορολογική συμμόρφω</w:t>
      </w:r>
      <w:r>
        <w:rPr>
          <w:noProof/>
        </w:rPr>
        <w:t>ση εις βάρος των εσόδων του προϋπολογισμού. Οι προσεγγίσεις ανά τομέα και κατηγορία όσον αφορά τη φορολογία των επιχειρήσεων ενέχουν τον κίνδυνο επιβολής διοικητικού φόρτου τόσο για τις επιχειρήσεις όσο και για τη φορολογική αρχή, χωρίς να συμβάλλουν στη β</w:t>
      </w:r>
      <w:r>
        <w:rPr>
          <w:noProof/>
        </w:rPr>
        <w:t>ελτίωση της είσπραξης των φόρων.</w:t>
      </w:r>
    </w:p>
    <w:p w:rsidR="00FD7807" w:rsidRDefault="00336825">
      <w:pPr>
        <w:pStyle w:val="Point0number"/>
        <w:rPr>
          <w:noProof/>
        </w:rPr>
      </w:pPr>
      <w:r>
        <w:rPr>
          <w:noProof/>
        </w:rPr>
        <w:t>Η κατανομή του διαθέσιμου εισοδήματος των νοικοκυριών (λαμβανομένου υπόψη του μεγέθους του νοικοκυριού) είναι ιδιαίτερα άνιση στη Ρουμανία, αποδυναμώνοντας έτσι τις δυνατότητες της χώρας για βιώσιμη και χωρίς αποκλεισμούς α</w:t>
      </w:r>
      <w:r>
        <w:rPr>
          <w:noProof/>
        </w:rPr>
        <w:t>νάπτυξη. Το πλουσιότερο 20% του πληθυσμού έχει εισόδημα οκτώ και πλέον φορές υψηλότερο από το φτωχότερο 20%. Η αναλογία αυτή είναι σημαντικά υψηλότερη από τον μέσο όρο της ΕΕ. Οι ανισότητες αυτές οφείλονται σε μεγάλο βαθμό στην άνιση πρόσβαση στην ιατροφαρ</w:t>
      </w:r>
      <w:r>
        <w:rPr>
          <w:noProof/>
        </w:rPr>
        <w:t>μακευτική περίθαλψη, την εκπαίδευση, τις υπηρεσίες και την πρόσβαση στην αγορά εργασίας. Επιπλέον, η διαφορά της εισοδηματικής ανισότητας πριν και μετά την φορολόγηση και τις κοινωνικές μεταβιβάσεις είναι μεταξύ των μικρότερων στην ΕΕ. Ο κοινωνικός δείκτης</w:t>
      </w:r>
      <w:r>
        <w:rPr>
          <w:noProof/>
        </w:rPr>
        <w:t xml:space="preserve"> αναφοράς, στον οποίο βασίζονται οι βασικές κοινωνικές παροχές, δεν έχει επικαιροποιηθεί από το 2008, το έτος καθιέρωσής του. Η αδήλωτη εργασία, όπου συμπεριλαμβάνεται η αμοιβή σε φακελάκι, εξακολουθεί να είναι διαδεδομένη και να επιβαρύνει τα φορολογικά έ</w:t>
      </w:r>
      <w:r>
        <w:rPr>
          <w:noProof/>
        </w:rPr>
        <w:t>σοδα, να προκαλεί στρεβλώσεις στην οικονομία και να υπονομεύει τον δίκαιο χαρακτήρα και την αποτελεσματικότητα του φορολογικού συστήματος και του συστήματος κοινωνικών παροχών. Στο πλαίσιο ενός πιλοτικού σχεδίου πραγματοποιήθηκαν κοινές εθνικές επιθεωρήσει</w:t>
      </w:r>
      <w:r>
        <w:rPr>
          <w:noProof/>
        </w:rPr>
        <w:t>ς από τις φορολογικές αρχές και τις επιθεωρήσεις εργασίας, αλλά αυτό δεν μπόρεσε να έχει συστημικό αντίκτυπο μέχρι σήμερα. Οι πόροι δεν εστιάζονται σε τομείς με τον υψηλότερο κίνδυνο φοροδιαφυγής, δίνεται περιορισμένη έμφαση στις αμοιβές σε φακελάκι, ενώ τ</w:t>
      </w:r>
      <w:r>
        <w:rPr>
          <w:noProof/>
        </w:rPr>
        <w:t xml:space="preserve">α κατασταλτικά μέτρα υπερισχύουν των προληπτικών. </w:t>
      </w:r>
    </w:p>
    <w:p w:rsidR="00FD7807" w:rsidRDefault="00336825">
      <w:pPr>
        <w:pStyle w:val="Point0number"/>
        <w:rPr>
          <w:noProof/>
          <w:szCs w:val="24"/>
        </w:rPr>
      </w:pPr>
      <w:r>
        <w:rPr>
          <w:noProof/>
        </w:rPr>
        <w:t>Τα αποτελέσματα στην αγορά εργασίας βελτιώθηκαν το 2016, έτος κατά το οποίο το ποσοστό ανεργίας άγγιξε το προ της κρίσεως χαμηλό επίπεδο. Το εργατικό δυναμικό εξακολουθεί να συρρικνώνεται, καθώς ο πληθυσμό</w:t>
      </w:r>
      <w:r>
        <w:rPr>
          <w:noProof/>
        </w:rPr>
        <w:t xml:space="preserve">ς γηράσκει και η μετανάστευση από τη χώρα παραμένει υψηλή. Τα χαμηλά ποσοστά ανεργίας συνδυάζονται με ένα από τα υψηλότερα ποσοστά αεργίας στην ΕΕ. Ειδικότερα, τα ποσοστά απασχόλησης και επαγγελματικής δραστηριότητας για τους νέους, τις γυναίκες, τα άτομα </w:t>
      </w:r>
      <w:r>
        <w:rPr>
          <w:noProof/>
        </w:rPr>
        <w:t>με χαμηλή ειδίκευση, τα άτομα με αναπηρίες και τους Ρομά είναι πολύ χαμηλότερα από τον μέσο όρο της ΕΕ. Ο αριθμός των νέων που βρίσκονται εκτός απασχόλησης, εκπαίδευσης ή κατάρτισης παραμένει σε πολύ υψηλά επίπεδα.</w:t>
      </w:r>
    </w:p>
    <w:p w:rsidR="00FD7807" w:rsidRDefault="00336825">
      <w:pPr>
        <w:pStyle w:val="Point0number"/>
        <w:rPr>
          <w:noProof/>
          <w:szCs w:val="24"/>
        </w:rPr>
      </w:pPr>
      <w:r>
        <w:rPr>
          <w:noProof/>
        </w:rPr>
        <w:t xml:space="preserve">Αν και βαίνει μειούμενος, ο κίνδυνος της </w:t>
      </w:r>
      <w:r>
        <w:rPr>
          <w:noProof/>
        </w:rPr>
        <w:t>φτώχειας ή του κοινωνικού αποκλεισμού είναι πολύ υψηλός, ιδίως για τις οικογένειες με παιδιά, τα άτομα με αναπηρία, τους Ρομά και τον αγροτικό πληθυσμό. Το 2016 εγκρίθηκε μια συνολική δέσμη μέτρων για την καταπολέμηση της φτώχειας σε μία πολιτική στροφή πρ</w:t>
      </w:r>
      <w:r>
        <w:rPr>
          <w:noProof/>
        </w:rPr>
        <w:t>ος τη μεγαλύτερη μέριμνα για την παροχή υπηρεσιών σε συγκεκριμένες ομάδες του πληθυσμού. Προβλέπεται ένα πιλοτικό σχέδιο για την παροχή ολοκληρωμένων υπηρεσιών σε περιθωριοποιημένες κοινότητες. Η υλοποίησή του σε πανεθνικό επίπεδο θα βελτίωνε σημαντικά την</w:t>
      </w:r>
      <w:r>
        <w:rPr>
          <w:noProof/>
        </w:rPr>
        <w:t xml:space="preserve"> επί του παρόντος περιορισμένη παροχή ολοκληρωμένων υπηρεσιών. Ως απάντηση στις διαδοχικές ειδικές συστάσεις ανά χώρα, θεσπίστηκε νομοθεσία σχετικά με το ελάχιστο εισόδημα ένταξης, η οποία θα αρχίσει να ισχύει το 2018. Το ελάχιστο εισόδημα ένταξης αυξάνει </w:t>
      </w:r>
      <w:r>
        <w:rPr>
          <w:noProof/>
        </w:rPr>
        <w:t>την επάρκεια και την κάλυψη της κοινωνικής πρόνοιας. Συνδυάζει την παθητική στήριξη με υποχρεωτικά ενεργητικά μέτρα για την αγορά εργασίας και επιθεωρήσεις. Ωστόσο το δυναμικό ενεργοποίησης που ενέχει είναι μέτριο, εφόσον ο στόχος είναι τα ενεργητικά μέτρα</w:t>
      </w:r>
      <w:r>
        <w:rPr>
          <w:noProof/>
        </w:rPr>
        <w:t xml:space="preserve"> πολιτικής για την αγορά εργασίας να αφορούν το 25% των δικαιούχων έως το 2021.</w:t>
      </w:r>
    </w:p>
    <w:p w:rsidR="00FD7807" w:rsidRDefault="00336825">
      <w:pPr>
        <w:pStyle w:val="Point0number"/>
        <w:rPr>
          <w:noProof/>
        </w:rPr>
      </w:pPr>
      <w:r>
        <w:rPr>
          <w:noProof/>
        </w:rPr>
        <w:t>Οι πολιτικές ενεργοποίησης έχουν ενισχυθεί στο πλαίσιο της μεταρρύθμισης του Εθνικού Οργανισμού Απασχόλησης. Οι μεταρρυθμίσεις περιλαμβάνουν πιο εξατομικευμένες υπηρεσίες υποστ</w:t>
      </w:r>
      <w:r>
        <w:rPr>
          <w:noProof/>
        </w:rPr>
        <w:t>ήριξης και ολοκληρωμένες υπηρεσίες για τα άτομα που αναζητούν εργασία και τους εργοδότες. Η προσέγγιση των νέων που βρίσκονται εκτός απασχόλησης, εκπαίδευσης ή κατάρτισης, καθώς και οι υπηρεσίες που τους προσφέρονται, βελτιώνονται. Ωστόσο, οι πολιτικές ενε</w:t>
      </w:r>
      <w:r>
        <w:rPr>
          <w:noProof/>
        </w:rPr>
        <w:t xml:space="preserve">ργοποίησης που προσφέρονται στις ομάδες που είναι περισσότερο αποκομμένες από την αγορά εργασίας εξακολουθούν να είναι περιορισμένες και τα μέτρα ενεργοποίησης που πρόσφατα προτάθηκαν δεν εστιάζονται πλέον στις εν λόγω συγκεκριμένες ομάδες. Η κλίμακά τους </w:t>
      </w:r>
      <w:r>
        <w:rPr>
          <w:noProof/>
        </w:rPr>
        <w:t>και η σύνδεσή τους με τις κοινωνικές υπηρεσίες δεν επαρκούν ώστε να βελτιώσουν σημαντικά τη συμμετοχή στην αγορά εργασίας, ιδίως για τις ομάδες αυτές.</w:t>
      </w:r>
    </w:p>
    <w:p w:rsidR="00FD7807" w:rsidRDefault="00336825">
      <w:pPr>
        <w:pStyle w:val="Point0number"/>
        <w:rPr>
          <w:noProof/>
        </w:rPr>
      </w:pPr>
      <w:r>
        <w:rPr>
          <w:noProof/>
        </w:rPr>
        <w:t>Η επάρκεια των συντάξεων και η φτώχεια των ηλικιωμένων έχουν σημαντικές πτυχές που αφορούν τη διάσταση το</w:t>
      </w:r>
      <w:r>
        <w:rPr>
          <w:noProof/>
        </w:rPr>
        <w:t>υ φύλου, καθώς, ανεξαρτήτως των υπολοίπων παραγόντων, τα χαμηλότερα όρια ηλικίας συνταξιοδότησης για τις γυναίκες συνεπάγονται χαμηλότερα συνταξιοδοτικά δικαιώματα. Η Ρουμανία συγκαταλέγεται στις πολύ λίγες χώρες της ΕΕ που δεν προβλέπουν σύγκλιση των ορίω</w:t>
      </w:r>
      <w:r>
        <w:rPr>
          <w:noProof/>
        </w:rPr>
        <w:t xml:space="preserve">ν ηλικίας συνταξιοδότησης για τις γυναίκες και τους άνδρες. Ο νόμος περί εξισώσεως των ορίων ηλικίας συνταξιοδότησης ανδρών και γυναικών υποβλήθηκε στο Κοινοβούλιο το 2103. Μέχρι σήμερα έχει εγκριθεί μόνον από τη Γερουσία. </w:t>
      </w:r>
    </w:p>
    <w:p w:rsidR="00FD7807" w:rsidRDefault="00336825">
      <w:pPr>
        <w:pStyle w:val="Point0number"/>
        <w:rPr>
          <w:noProof/>
        </w:rPr>
      </w:pPr>
      <w:r>
        <w:rPr>
          <w:noProof/>
        </w:rPr>
        <w:t>Δεδομένων των εξελίξεων όσον αφο</w:t>
      </w:r>
      <w:r>
        <w:rPr>
          <w:noProof/>
        </w:rPr>
        <w:t>ρά την παραγωγικότητα, της εισοδηματικής σύγκλισης και της ανταγωνιστικής θέσης της Ρουμανίας, οι αυξήσεις των μισθών του δημοσίου και του ιδιωτικού τομέα χρήζουν ιδιαίτερης προσοχής. Οι αυξήσεις των μισθών του δημόσιου τομέα μπορούν να μεταδοθούν και στον</w:t>
      </w:r>
      <w:r>
        <w:rPr>
          <w:noProof/>
        </w:rPr>
        <w:t xml:space="preserve"> ιδιωτικό τομέα, επηρεάζοντας την ανταγωνιστικότητα της Ρουμανίας. Ο κατώτατος μισθός της Ρουμανίας, ενώ εξακολουθεί να είναι μεταξύ των χαμηλότερων στην ΕΕ, έχει αυξηθεί σημαντικά τα τελευταία έτη. Οι ad hoc αυξήσεις των κατώτατων μισθών αύξησαν σημαντικά</w:t>
      </w:r>
      <w:r>
        <w:rPr>
          <w:noProof/>
        </w:rPr>
        <w:t xml:space="preserve"> το ποσοστό των εργαζομένων που αμείβονται με τον κατώτατο μισθό και οδήγησαν πρόσφατα σε έντονη συμπίεση στο κάτω άκρο της μισθολογικής κλίμακας. Ως απάντηση σε ειδική για τη χώρα σύσταση, στις αρχές του 2016 συστήθηκε τριμερής ομάδα εργασίας για τη δημιο</w:t>
      </w:r>
      <w:r>
        <w:rPr>
          <w:noProof/>
        </w:rPr>
        <w:t>υργία μηχανισμού καθορισμού των κατώτατων μισθών με βάση αντικειμενικά κριτήρια (οικονομικά, κοινωνικά και σχετιζόμενα με την αγορά εργασίας). Οι σχετικές εργασίες, όμως, σημείωσαν σημαντικές καθυστερήσεις και απαιτείται να συνεχιστούν καταλλήλως. Ο κοινων</w:t>
      </w:r>
      <w:r>
        <w:rPr>
          <w:noProof/>
        </w:rPr>
        <w:t xml:space="preserve">ικός διάλογος εξακολουθεί να χαρακτηρίζεται από ανεπαρκείς συλλογικές διαπραγματεύσεις σε κλαδικό επίπεδο και από θεσμικές αδυναμίες που περιορίζουν την αποτελεσματικότητα των μεταρρυθμίσεων. </w:t>
      </w:r>
    </w:p>
    <w:p w:rsidR="00FD7807" w:rsidRDefault="00336825">
      <w:pPr>
        <w:pStyle w:val="Point0number"/>
        <w:rPr>
          <w:noProof/>
        </w:rPr>
      </w:pPr>
      <w:r>
        <w:rPr>
          <w:noProof/>
        </w:rPr>
        <w:t>Οι επαρκείς βασικές δεξιότητες είναι καίριας σημασίας για την ε</w:t>
      </w:r>
      <w:r>
        <w:rPr>
          <w:noProof/>
        </w:rPr>
        <w:t>ξεύρεση και διατήρηση καλών και σταθερών θέσεων απασχόλησης και την επιτυχή συμμετοχή στην οικονομική και κοινωνική ζωή. Οι διεθνείς έρευνες αναδεικνύουν σοβαρές ελλείψεις όσον αφορά τις βασικές δεξιότητες μεταξύ των Ρουμάνων εφήβων. Τα υψηλά ποσοστά πρόωρ</w:t>
      </w:r>
      <w:r>
        <w:rPr>
          <w:noProof/>
        </w:rPr>
        <w:t xml:space="preserve">ης εγκατάλειψης του σχολείου, το χαμηλό ποσοστό αποφοίτων τριτοβάθμιας εκπαίδευσης και το υψηλό ποσοστό μετανάστευσης από τη χώρα έχουν ως αποτέλεσμα την ανεπάρκεια της προσφοράς ειδικευμένου εργατικού δυναμικού. Η πρόσβαση σε ποιοτική κανονική εκπαίδευση </w:t>
      </w:r>
      <w:r>
        <w:rPr>
          <w:noProof/>
        </w:rPr>
        <w:t>είναι περιορισμένη σε αγροτικές περιοχές και ιδίως για τα παιδιά των Ρομά. Η δυσκολία προσέλκυσης καλών εκπαιδευτικών στις αγροτικές περιοχές και στα σχολεία όπου φοιτούν κυρίως Ρομά, σε συνδυασμό με τις συμπεριφορές διαχωρισμού και, συχνά, διακρίσεων, έχο</w:t>
      </w:r>
      <w:r>
        <w:rPr>
          <w:noProof/>
        </w:rPr>
        <w:t>υν ως αποτέλεσμα χαμηλότερες εκπαιδευτικές επιδόσεις για τα παιδιά των Ρομά. Ως απάντηση σε επανειλημμένες ειδικές για τη χώρα συστάσεις, η Ρουμανία θέσπισε και άρχισε να εφαρμόζει στρατηγική για τη μείωση της πρόωρης εγκατάλειψης του σχολείου. Τα πρόσφατα</w:t>
      </w:r>
      <w:r>
        <w:rPr>
          <w:noProof/>
        </w:rPr>
        <w:t xml:space="preserve"> μέτρα περιλαμβάνουν ολοκληρωμένες παρεμβάσεις, πιλοτικό πρόγραμμα για ζεστό φαγητό, βελτιωμένο σύστημα επιστροφής των εξόδων μετακίνησης και κοινωνικά κουπόνια που ενθαρρύνουν την προσχολική εκπαίδευση φτωχών παιδιών. Για το φθινόπωρο του 2017 έχουν προγρ</w:t>
      </w:r>
      <w:r>
        <w:rPr>
          <w:noProof/>
        </w:rPr>
        <w:t>αμματιστεί μέτρα που βασίζονται σε μεμονωμένα έργα, με χρηματοδότηση της ΕΕ, για τη βελτίωση της ποιότητας της διδασκαλίας στα μειονεκτούντα σχολεία, ο δε εκσυγχρονισμός των προγραμμάτων σπουδών, αν και όχι πλήρης, βρίσκεται σε εξέλιξη. Η νομοθεσία για την</w:t>
      </w:r>
      <w:r>
        <w:rPr>
          <w:noProof/>
        </w:rPr>
        <w:t xml:space="preserve"> εξάλειψη των διαχωρισμών βελτιώθηκε, συμπεριλαμβανομένης της ενίσχυσης των αρμοδιοτήτων των σχολικών επιθεωρήσεων για τον εν λόγω τομέα. Ωστόσο, εξακολουθεί να απουσιάζει η μεθοδολογία παρακολούθησης. Απαιτούνται περαιτέρω μέτρα για τη συνεχή πρόοδο όσον </w:t>
      </w:r>
      <w:r>
        <w:rPr>
          <w:noProof/>
        </w:rPr>
        <w:t>αφορά την καταπολέμηση των κοινωνικοοικονομικών ανισοτήτων στην εκπαίδευση. Η «Εγγύηση για τη νεολαία» έχει εν μέρει μόνο επιτύχει να απευθυνθεί σε όσους εγκαταλείπουν πρόωρα το σχολείο μέχρι στιγμής, ενώ τα προγράμματα δεύτερης ευκαιρίας δεν είναι άμεσα δ</w:t>
      </w:r>
      <w:r>
        <w:rPr>
          <w:noProof/>
        </w:rPr>
        <w:t xml:space="preserve">ιαθέσιμα. Το σύστημα επαγγελματικής εκπαίδευσης και κατάρτισης δεν ευθυγραμμίζεται επαρκώς με τις ανάγκες της αγοράς εργασίας, η δε συμμετοχή στην εκπαίδευση των ενηλίκων είναι πολύ χαμηλή. </w:t>
      </w:r>
    </w:p>
    <w:p w:rsidR="00FD7807" w:rsidRDefault="00336825">
      <w:pPr>
        <w:pStyle w:val="Point0number"/>
        <w:rPr>
          <w:noProof/>
        </w:rPr>
      </w:pPr>
      <w:r>
        <w:rPr>
          <w:noProof/>
        </w:rPr>
        <w:t>Ο πληθυσμός της Ρουμανίας έρχεται αντιμέτωπος με πενιχρά αποτελέσ</w:t>
      </w:r>
      <w:r>
        <w:rPr>
          <w:noProof/>
        </w:rPr>
        <w:t>ματα στον τομέα της υγείας. Η πρόσβαση σε ποιοτική ιατροφαρμακευτική περίθαλψη παρεμποδίζεται από την έλλειψη επαγγελματιών στον τομέα της υγείας, την ανεπαρκή χρηματοδότηση και την υπερβολική εξάρτηση από τα νοσοκομεία, καθώς και τη διαφθορά, πλήττοντας ι</w:t>
      </w:r>
      <w:r>
        <w:rPr>
          <w:noProof/>
        </w:rPr>
        <w:t xml:space="preserve">δίως άτομα με χαμηλό εισόδημα και σε αγροτικές περιοχές. Η διαφθορά, πέραν των άτυπων πληρωμών σε επαγγελματίες του τομέα της υγείας, αφορά και τις δημόσιες προμήθειες στα νοσοκομεία, την ασφαλιστική απάτη και τη δωροδοκία προς απόκτηση πιστοποιητικών που </w:t>
      </w:r>
      <w:r>
        <w:rPr>
          <w:noProof/>
        </w:rPr>
        <w:t>δίνουν δικαίωμα σε παροχές. Ως απάντηση σε ειδική για τη χώρα σύσταση, και στο πλαίσιο της εκ των προτέρων αιρεσιμότητας για χρηματοδότηση από την ΕΕ κατά την περίοδο 2014-2020, η Ρουμανία έλαβε ορισμένα μέτρα πολιτικής για τη στροφή από την ενδονοσοκομεια</w:t>
      </w:r>
      <w:r>
        <w:rPr>
          <w:noProof/>
        </w:rPr>
        <w:t>κή στην εξωνοσοκομειακή περίθαλψη. Εκπονήθηκαν σχέδια περιφερειακής ιατροφαρμακευτικής περίθαλψης με στόχο τον προσδιορισμό των αναγκών σε υποδομές και υπηρεσίες, η δε εφαρμογή της εθνικής στρατηγικής για την υγεία τελεί υπό παρακολούθηση. Σύμφωνα με την ε</w:t>
      </w:r>
      <w:r>
        <w:rPr>
          <w:noProof/>
        </w:rPr>
        <w:t>θνική στρατηγική καταπολέμησης της διαφθοράς για την περίοδο 2016-2020, θεσπίστηκε νομοθεσία για την αναμόρφωση του συστήματος πληροφόρησης για άτυπες πληρωμές και βελτιώθηκαν οι μισθοί των επαγγελματιών του τομέα της υγείας. Η στρατηγική καταπολέμησης της</w:t>
      </w:r>
      <w:r>
        <w:rPr>
          <w:noProof/>
        </w:rPr>
        <w:t xml:space="preserve"> διαφθοράς περιλαμβάνει ολοκληρωμένα μέτρα στον τομέα της υγείας, μεταξύ άλλων για την προώθηση της λογοδοσίας και της διαφάνειας στις προσλήψεις διευθυντών νοσοκομείων. Ωστόσο, η ενίσχυση της κατ’ οίκον περίθαλψης, της περίθαλψης σε εξωτερικά ιατρεία και </w:t>
      </w:r>
      <w:r>
        <w:rPr>
          <w:noProof/>
        </w:rPr>
        <w:t>των συστημάτων παραπομπής ασθενών βρίσκεται ακόμη σε αρχικό στάδιο, οι άτυπες πληρωμές εξακολουθούν να είναι διαδεδομένες, η διαφάνεια στη διαχείριση των νοσοκομείων δεν έχει ακόμη εξασφαλιστεί, εκκρεμεί δε η έγκριση εθνικής στρατηγικής για το εργατικό δυν</w:t>
      </w:r>
      <w:r>
        <w:rPr>
          <w:noProof/>
        </w:rPr>
        <w:t xml:space="preserve">αμικό στον τομέα της υγείας. </w:t>
      </w:r>
    </w:p>
    <w:p w:rsidR="00FD7807" w:rsidRDefault="00336825">
      <w:pPr>
        <w:pStyle w:val="Point0number"/>
        <w:rPr>
          <w:noProof/>
        </w:rPr>
      </w:pPr>
      <w:r>
        <w:rPr>
          <w:noProof/>
        </w:rPr>
        <w:t>Η διοικητική ικανότητα και η ικανότητα χάραξης πολιτικής της Ρουμανίας πλήττονται από την αδιαφάνεια στις διαδικασίες και στη λήψη αποφάσεων, από τις επαχθείς διοικητικές διαδικασίες, από τη χαμηλή προσφυγή στην ποιοτική τεκμη</w:t>
      </w:r>
      <w:r>
        <w:rPr>
          <w:noProof/>
        </w:rPr>
        <w:t xml:space="preserve">ρίωση, από τον ανεπαρκή συντονισμό μεταξύ των τομεακών πολιτικών και από την ευρέως διαδεδομένη διαφθορά. Η πρόοδος στη μεταρρύθμιση της δημόσιας διοίκησης είναι περιορισμένη. Οι οργανωτικές δομές εξακολουθούν να είναι ασταθείς, γεγονός το οποίο επηρεάζει </w:t>
      </w:r>
      <w:r>
        <w:rPr>
          <w:noProof/>
        </w:rPr>
        <w:t>την ανεξαρτησία και την αποτελεσματικότητα της δημόσιας διοίκησης. Το 2016 δρομολογήθηκαν στρατηγικές για τους δημοσίους υπαλλήλους, αλλά το νομοθετικό πλαίσιο δεν περιλαμβάνει ακόμη ορισμένους από τους κύριους στόχους, ιδίως όσον αφορά τα αντικειμενικά κρ</w:t>
      </w:r>
      <w:r>
        <w:rPr>
          <w:noProof/>
        </w:rPr>
        <w:t>ιτήρια για την πρόσληψη προσωπικού, την αξιολόγηση και την επιβράβευση των επιδόσεων. Προτείνεται να εναρμονιστούν σε κάποιο βαθμό τα επίπεδα των μισθών, αλλά δεν υπάρχει σαφής σύνδεση μεταξύ επιδόσεων και αποδοχών, σε κεντρικό και τοπικό επίπεδο. Οι ικανό</w:t>
      </w:r>
      <w:r>
        <w:rPr>
          <w:noProof/>
        </w:rPr>
        <w:t>τητες και οι αρμοδιότητες του Οργανισμού Δημόσιας Διοίκησης χρειάζονται περαιτέρω ενίσχυση. Ορισμένα από τα μέτρα διαφάνειας όσον αφορά τη χάραξη πολιτικών, που εισήχθησαν το 2016, πρόκειται να ανακληθούν. Ο στρατηγικός σχεδιασμός και η εκτίμηση των κανονι</w:t>
      </w:r>
      <w:r>
        <w:rPr>
          <w:noProof/>
        </w:rPr>
        <w:t xml:space="preserve">στικών επιπτώσεων δεν έχουν παγιωθεί στη διοικητική πρακτική. </w:t>
      </w:r>
    </w:p>
    <w:p w:rsidR="00FD7807" w:rsidRDefault="00336825">
      <w:pPr>
        <w:pStyle w:val="Point0number"/>
        <w:rPr>
          <w:noProof/>
        </w:rPr>
      </w:pPr>
      <w:r>
        <w:rPr>
          <w:noProof/>
        </w:rPr>
        <w:t xml:space="preserve">Οι ανεπαρκείς υποδομές μεταφορών, σε ποιότητα και ποσότητα, αποτελούν ένα εκ των βασικών αιτίων ανάσχεσης της οικονομικής ανάπτυξης στη Ρουμανία. Για να αντιμετωπίσει τις σχετικές ανεπάρκειες, </w:t>
      </w:r>
      <w:r>
        <w:rPr>
          <w:noProof/>
        </w:rPr>
        <w:t>ανταποκρινόμενη σε ειδική για τη χώρα σύσταση, η Ρουμανία εξέδωσε το ρυθμιστικό σχέδιο για τις μεταφορές το φθινόπωρο του 2016. Προκειμένου να επιταχυνθούν οι επενδύσεις σε οδικές υποδομές, η διαχείριση των επενδύσεων σε υποδομές διαχωρίστηκε από την υπηρε</w:t>
      </w:r>
      <w:r>
        <w:rPr>
          <w:noProof/>
        </w:rPr>
        <w:t>σία που είναι υπεύθυνη για τη διαχείριση των υποδομών. Το 2016 συστήθηκε ένας φορέας για τη μεταρρύθμιση του σιδηροδρομικού συστήματος, που θα αρχίσει να λειτουργεί έως τα μέσα του 2017.</w:t>
      </w:r>
    </w:p>
    <w:p w:rsidR="00FD7807" w:rsidRDefault="00336825">
      <w:pPr>
        <w:pStyle w:val="Point0number"/>
        <w:rPr>
          <w:noProof/>
        </w:rPr>
      </w:pPr>
      <w:r>
        <w:rPr>
          <w:noProof/>
        </w:rPr>
        <w:t xml:space="preserve">Η Ρουμανία έχει εσχάτως έναν από τους υψηλότερους δείκτες επενδύσεων </w:t>
      </w:r>
      <w:r>
        <w:rPr>
          <w:noProof/>
        </w:rPr>
        <w:t>στην ΕΕ. Ωστόσο το 2016 οι δημόσιες επενδύσεις μειώθηκαν, λόγω, μεταξύ άλλων, της χαμηλής αξιοποίησης κονδυλίων της ΕΕ. Το υψηλό ποσοστό απορρόφησης και η αποτελεσματική χρήση της χρηματοδότησης της ΕΕ έχουν καίρια σημασία προκειμένου η Ρουμανία να αξιοποι</w:t>
      </w:r>
      <w:r>
        <w:rPr>
          <w:noProof/>
        </w:rPr>
        <w:t>ήσει το δυναμικό ανάπτυξής της σε βασικούς τομείς όπως, ιδίως, οι μεταφορές ή τα απόβλητα. Η ποιότητα των δημόσιων επενδύσεων υπονομεύθηκε, μεταξύ άλλων, από αδυναμίες στη διαχείριση και από αλλαγή των προτεραιοτήτων. Ως απάντηση σε ειδική για τη χώρα σύστ</w:t>
      </w:r>
      <w:r>
        <w:rPr>
          <w:noProof/>
        </w:rPr>
        <w:t>αση, ελάχιστη πρόοδος σημειώθηκε όσον αφορά την ενίσχυση της ιεράρχησης και της προετοιμασίας των έργων στις δημόσιες επενδύσεις. Από τον Αύγουστο του 2016, τα υπουργεία πρέπει να λαμβάνουν υπόψη τις επενδυτικές προτεραιότητες στα σχέδια δαπανών τους, αλλά</w:t>
      </w:r>
      <w:r>
        <w:rPr>
          <w:noProof/>
        </w:rPr>
        <w:t xml:space="preserve"> δεν ελήφθησαν άλλα μέτρα για την ενίσχυση του ρόλου του Υπουργείου Οικονομικών στην ιεράρχηση των επενδύσεων και στον καλύτερο συντονισμό της προετοιμασίας των έργων δημοσίων επενδύσεων μεταξύ των υπουργείων. Η έγκριση του εθνικού σχεδίου διαχείρισης των </w:t>
      </w:r>
      <w:r>
        <w:rPr>
          <w:noProof/>
        </w:rPr>
        <w:t>αποβλήτων και του προγράμματος πρόληψης της δημιουργίας αποβλήτων αναμενόταν να πραγματοποιηθεί έως το τέλος του 2016, αλλά εξακολουθεί να εκκρεμεί. Τα σχέδια είναι επίσης αναγκαία για τη βελτίωση της διακυβέρνησης και της εφαρμογής της νομοθεσίας, ώστε οι</w:t>
      </w:r>
      <w:r>
        <w:rPr>
          <w:noProof/>
        </w:rPr>
        <w:t xml:space="preserve"> εθνικοί και οι ενωσιακοί πόροι να αξιοποιηθούν για την επίτευξη των περιβαλλοντικών προτύπων σε επίπεδο ΕΕ.</w:t>
      </w:r>
    </w:p>
    <w:p w:rsidR="00FD7807" w:rsidRDefault="00336825">
      <w:pPr>
        <w:pStyle w:val="Point0number"/>
        <w:rPr>
          <w:noProof/>
        </w:rPr>
      </w:pPr>
      <w:r>
        <w:rPr>
          <w:noProof/>
        </w:rPr>
        <w:t>Οι αποτελεσματικές δημόσιες προμήθειες είναι βασικός παράγοντας για την επίτευξη των στρατηγικών στόχων και την αντιμετώπιση των βασικών προκλήσεων</w:t>
      </w:r>
      <w:r>
        <w:rPr>
          <w:noProof/>
        </w:rPr>
        <w:t xml:space="preserve"> πολιτικής στη Ρουμανία, οι οποίες περιλαμβάνουν την αποδοτικότητα των δημοσίων δαπανών, τον εκσυγχρονισμό της δημόσιας διοίκησης, την καταπολέμηση της διαφθοράς και την προώθηση της καινοτομίας και της βιώσιμης και χωρίς αποκλεισμούς ανάπτυξης. Είναι επίσ</w:t>
      </w:r>
      <w:r>
        <w:rPr>
          <w:noProof/>
        </w:rPr>
        <w:t>ης καίριας σημασίας για την εμπιστοσύνη των πολιτών στις δημόσιες αρχές και στη δημοκρατία. Η Ρουμανία έλαβε προσφάτως μέτρα για την υλοποίηση της στρατηγικής και του σχεδίου δράσης για τις δημόσιες προμήθειες. Σε συνέχεια του νόμου για τις δημόσιες προμήθ</w:t>
      </w:r>
      <w:r>
        <w:rPr>
          <w:noProof/>
        </w:rPr>
        <w:t>ειες που ισχύει από τον Μάιο του 2016, θεσπίστηκε νομοθεσία εφαρμογής μέχρι το τέλος του 2016, το δε εθνικό πρόγραμμα δράσης για τις δημόσιες προμήθειες προβλέπει την πρόληψη και τον έλεγχο της διαφθοράς. Ωστόσο, πολλά σημαντικά μέτρα στο πλαίσιο της στρατ</w:t>
      </w:r>
      <w:r>
        <w:rPr>
          <w:noProof/>
        </w:rPr>
        <w:t xml:space="preserve">ηγικής εξακολουθούν να εκκρεμούν, όπως είναι η ενίσχυση των ελέγχων και άλλα μέτρα για την καταπολέμηση της διαφθοράς, η εφαρμογή των ηλεκτρονικών προμηθειών, καθώς και η κατάρτιση των αρμόδιων υπαλλήλων για τις δημόσιες προμήθειες. </w:t>
      </w:r>
    </w:p>
    <w:p w:rsidR="00FD7807" w:rsidRDefault="00336825">
      <w:pPr>
        <w:pStyle w:val="Point0number"/>
        <w:rPr>
          <w:noProof/>
        </w:rPr>
      </w:pPr>
      <w:r>
        <w:rPr>
          <w:noProof/>
        </w:rPr>
        <w:t>Πάνω από το 45% του πλ</w:t>
      </w:r>
      <w:r>
        <w:rPr>
          <w:noProof/>
        </w:rPr>
        <w:t>ηθυσμού της Ρουμανίας ζει σε αγροτικές περιοχές, οι οποίες υστερούν πολύ σε σύγκριση με τις αστικές περιοχές όσον αφορά την απασχόληση και την εκπαίδευση, την πρόσβαση σε υπηρεσίες και υποδομές και την ευμάρεια. Ανταποκρινόμενη στην ειδική για τη χώρα σύστ</w:t>
      </w:r>
      <w:r>
        <w:rPr>
          <w:noProof/>
        </w:rPr>
        <w:t>αση να βελτιώσει την πρόσβαση σε ολοκληρωμένες δημόσιες υπηρεσίες, να επεκτείνει τις βασικές υποδομές και να προωθήσει την οικονομική διαφοροποίηση, ιδίως στις αγροτικές περιοχές, η Ρουμανία ενέκρινε το 2016 συνολική δέσμη μέτρων για την αγροτική ανάπτυξη,</w:t>
      </w:r>
      <w:r>
        <w:rPr>
          <w:noProof/>
        </w:rPr>
        <w:t xml:space="preserve"> τον εκσυγχρονισμό των μικρών γεωργικών εκμεταλλεύσεων, τη στήριξη μη γεωργικών ΜΜΕ, τις επενδύσεις σε υποδομές, συμπεριλαμβανομένων των κοινωνικών υπηρεσιών και της εκπαίδευσης, καθώς και την προώθηση της τυπικής απασχόλησης. Η μακροπρόθεσμη επιτυχία τους</w:t>
      </w:r>
      <w:r>
        <w:rPr>
          <w:noProof/>
        </w:rPr>
        <w:t xml:space="preserve"> θα εξαρτηθεί από την ικανότητα ανάπτυξης των πιλοτικών δράσεων σε μεγαλύτερη κλίμακα και την ικανότητα αποτελεσματικής στόχευσης και απορρόφησης των διαθέσιμων κονδυλίων της ΕΕ.</w:t>
      </w:r>
    </w:p>
    <w:p w:rsidR="00FD7807" w:rsidRDefault="00336825">
      <w:pPr>
        <w:pStyle w:val="Point0number"/>
        <w:rPr>
          <w:noProof/>
        </w:rPr>
      </w:pPr>
      <w:r>
        <w:rPr>
          <w:noProof/>
        </w:rPr>
        <w:t xml:space="preserve">Οι κρατικές επιχειρήσεις διαδραματίζουν σημαντικό ρόλο στην οικονομία, ιδίως </w:t>
      </w:r>
      <w:r>
        <w:rPr>
          <w:noProof/>
        </w:rPr>
        <w:t>σε βασικούς τομείς υποδομών. Οι αδυναμίες στη διακυβέρνηση των κρατικών επιχειρήσεων μεταφράζονται σε χαμηλότερη κερδοφορία σε σχέση με τις ομολόγους τους του ιδιωτικού τομέα, με αρνητικές επιπτώσεις για τα δημόσια οικονομικά. Ανταποκρινόμενη σε μία ειδική</w:t>
      </w:r>
      <w:r>
        <w:rPr>
          <w:noProof/>
        </w:rPr>
        <w:t xml:space="preserve"> για τη χώρα σύσταση, η Ρουμανία πέτυχε σημαντική πρόοδο ως προς τη βελτίωση της εταιρικής διακυβέρνησης των κρατικών επιχειρήσεων. Οι καταστατικές διατάξεις που υποστηρίζουν την κύρια νομοθεσία για την εταιρική διακυβέρνηση των κρατικών επιχειρήσεων εγκρί</w:t>
      </w:r>
      <w:r>
        <w:rPr>
          <w:noProof/>
        </w:rPr>
        <w:t>θηκαν γρήγορα, το φθινόπωρο του 2016. Το νομοθετικό πλαίσιο ακολουθεί τις ορθές διεθνείς πρακτικές για τη διαφάνεια κατά τον διορισμό μελών διοικητικών συμβουλίων και διοίκησης των κρατικών επιχειρήσεων, παρέχει δε στο Υπουργείο Οικονομικών ειδικές εξουσίε</w:t>
      </w:r>
      <w:r>
        <w:rPr>
          <w:noProof/>
        </w:rPr>
        <w:t>ς παρακολούθησης και επιβολής. Ελήφθησαν επίσης μέτρα για να γίνουν ευρύτερα γνωστοί οι νέοι κανόνες μεταξύ των τοπικών αρχών και δημοσιοποιήθηκαν δημοσιονομικά στοιχεία σχετικά με τις κρατικές επιχειρήσεις. Ωστόσο, οι καθυστερήσεις στον διορισμό επαγγελμα</w:t>
      </w:r>
      <w:r>
        <w:rPr>
          <w:noProof/>
        </w:rPr>
        <w:t xml:space="preserve">τικών ανωτάτων στελεχών εγείρουν ανησυχίες σχετικά με την περαιτέρω εφαρμογή. </w:t>
      </w:r>
    </w:p>
    <w:p w:rsidR="00FD7807" w:rsidRDefault="00336825">
      <w:pPr>
        <w:pStyle w:val="Point0number"/>
        <w:rPr>
          <w:noProof/>
        </w:rPr>
      </w:pPr>
      <w:r>
        <w:rPr>
          <w:noProof/>
        </w:rPr>
        <w:t>Η ανταγωνιστικότητα της Ρουμανίας πλήττεται από αδυναμίες στη μη σχετιζόμενη με το κόστος ανταγωνιστικότητα και από διαρθρωτικά εμπόδια για την μετάβαση προς μια οικονομία υψηλό</w:t>
      </w:r>
      <w:r>
        <w:rPr>
          <w:noProof/>
        </w:rPr>
        <w:t>τερης προστιθέμενης αξίας. Μεταξύ αυτών είναι οι πολύπλοκες διοικητικές διαδικασίες. Ανταποκρινόμενη σε μία ειδική για τη χώρα σύσταση, το 2016 η Ρουμανία εξέδωσε πολλές νομοθετικές πράξεις ώστε να απλουστευθούν οι διοικητικές διαδικασίες και να διευκολυνθ</w:t>
      </w:r>
      <w:r>
        <w:rPr>
          <w:noProof/>
        </w:rPr>
        <w:t xml:space="preserve">εί η σχέση μεταξύ των πολιτών και της δημόσιας διοίκησης - ωστόσο αυτό αφορά λίγες μόνον διαδικασίες. </w:t>
      </w:r>
    </w:p>
    <w:p w:rsidR="00FD7807" w:rsidRDefault="00336825">
      <w:pPr>
        <w:pStyle w:val="Point0number"/>
        <w:rPr>
          <w:noProof/>
        </w:rPr>
      </w:pPr>
      <w:r>
        <w:rPr>
          <w:noProof/>
        </w:rPr>
        <w:t>Η διαφθορά εξακολουθεί να υφίσταται σε όλα τα επίπεδα και να αποτελεί εμπόδιο για την επιχειρηματική δραστηριότητα. Η Ρουμανία σημείωσε ουσιαστική πρόοδο</w:t>
      </w:r>
      <w:r>
        <w:rPr>
          <w:noProof/>
        </w:rPr>
        <w:t xml:space="preserve"> όσον αφορά ένα μεγάλο μέρος της μεταρρύθμισης του συστήματος απονομής δικαιοσύνης και την καταπολέμηση της διαφθοράς υψηλού επιπέδου. Ωστόσο, εξακολουθούν να απαιτούνται βασικά βήματα για να αντιμετωπιστούν οι ανησυχίες στους τομείς αυτούς, ούτως ώστε οι </w:t>
      </w:r>
      <w:r>
        <w:rPr>
          <w:noProof/>
        </w:rPr>
        <w:t>μεταρρυθμίσεις να είναι βιώσιμες και αμετάκλητες. Σημειώθηκε πρόοδος όσον αφορά τον σχεδιασμό περαιτέρω μέτρων για την πρόληψη και την καταπολέμηση της διαφθοράς, ιδίως στο πλαίσιο της τοπικής αυτοδιοίκησης, αλλά εξακολουθούν να υπάρχουν σημαντικές προκλήσ</w:t>
      </w:r>
      <w:r>
        <w:rPr>
          <w:noProof/>
        </w:rPr>
        <w:t>εις όσον αφορά την αποτελεσματική εφαρμογή της εθνικής στρατηγικής για την καταπολέμηση της διαφθοράς που εγκρίθηκε το 2016. Απαιτούνται προσπάθειες για τον σεβασμό της ανεξαρτησίας της δικαιοσύνης στη δημόσια ζωή της Ρουμανίας, την ολοκλήρωση των μεταρρυθ</w:t>
      </w:r>
      <w:r>
        <w:rPr>
          <w:noProof/>
        </w:rPr>
        <w:t xml:space="preserve">μίσεων του ποινικού και του αστικού κώδικα και τη διασφάλιση της αποτελεσματικότητας στην εκτέλεση των δικαστικών αποφάσεων. Στο πλαίσιο του μηχανισμού συνεργασίας και ελέγχου, η Ρουμανία δέχεται συστάσεις στους τομείς της δικαστικής μεταρρύθμισης και της </w:t>
      </w:r>
      <w:r>
        <w:rPr>
          <w:noProof/>
        </w:rPr>
        <w:t>καταπολέμησης της διαφθοράς. Οι τομείς αυτοί δεν καλύπτονται, επομένως, από τις ειδικές ανά χώρα συστάσεις για τη Ρουμανία.</w:t>
      </w:r>
    </w:p>
    <w:p w:rsidR="00FD7807" w:rsidRDefault="00336825">
      <w:pPr>
        <w:pStyle w:val="Point0number"/>
        <w:rPr>
          <w:noProof/>
        </w:rPr>
      </w:pPr>
      <w:r>
        <w:rPr>
          <w:noProof/>
        </w:rPr>
        <w:t>Στο πλαίσιο του Ευρωπαϊκού Εξαμήνου, η Επιτροπή προέβη σε ολοκληρωμένη ανάλυση της οικονομικής πολιτικής της Ρουμανίας και τη δημοσίευσε στην έκθεση του 2017 για τη χώρα. Επίσης, αξιολόγησε το πρόγραμμα σύγκλισης και το εθνικό πρόγραμμα μεταρρυθμίσεων, καθ</w:t>
      </w:r>
      <w:r>
        <w:rPr>
          <w:noProof/>
        </w:rPr>
        <w:t>ώς και τη συνέχεια που δόθηκε στις συστάσεις που είχαν απευθυνθεί προς τη Ρουμανία κατά τα προηγούμενα έτη. Έλαβε υπόψη όχι μόνον τη συνάφειά τους για την άσκηση βιώσιμης δημοσιονομικής και κοινωνικοοικονομικής πολιτικής στη Ρουμανία, αλλά και τη συμμόρφωσ</w:t>
      </w:r>
      <w:r>
        <w:rPr>
          <w:noProof/>
        </w:rPr>
        <w:t xml:space="preserve">ή τους με τους κανόνες και τις κατευθύνσεις της ΕΕ, δεδομένης της ανάγκης ενδυνάμωσης της συνολικής οικονομικής διακυβέρνησης της ΕΕ, μέσω της συνεκτίμησης στοιχείων σε επίπεδο ΕΕ κατά τη διαμόρφωση μελλοντικών εθνικών αποφάσεων. </w:t>
      </w:r>
    </w:p>
    <w:p w:rsidR="00FD7807" w:rsidRDefault="00336825">
      <w:pPr>
        <w:pStyle w:val="Point0number"/>
        <w:rPr>
          <w:noProof/>
        </w:rPr>
      </w:pPr>
      <w:r>
        <w:rPr>
          <w:noProof/>
        </w:rPr>
        <w:t>Υπό το πρίσμα της αξιολόγ</w:t>
      </w:r>
      <w:r>
        <w:rPr>
          <w:noProof/>
        </w:rPr>
        <w:t>ησης αυτής, το Συμβούλιο εξέτασε το πρόγραμμα σύγκλισης και η γνώμη του</w:t>
      </w:r>
      <w:r>
        <w:rPr>
          <w:rStyle w:val="FootnoteReference"/>
          <w:noProof/>
        </w:rPr>
        <w:footnoteReference w:id="11"/>
      </w:r>
      <w:r>
        <w:rPr>
          <w:noProof/>
        </w:rPr>
        <w:t xml:space="preserve"> αποτυπώνεται ιδίως στη σύσταση 1 κατωτέρω,</w:t>
      </w:r>
    </w:p>
    <w:p w:rsidR="00FD7807" w:rsidRDefault="00336825">
      <w:pPr>
        <w:pStyle w:val="Formuledadoption"/>
        <w:rPr>
          <w:noProof/>
        </w:rPr>
      </w:pPr>
      <w:r>
        <w:rPr>
          <w:noProof/>
        </w:rPr>
        <w:t>ΣΥΝΙΣΤΑ στη Ρουμανία να λάβει μέτρα το 2017 και το 2018 προκειμένου:</w:t>
      </w:r>
    </w:p>
    <w:p w:rsidR="00FD7807" w:rsidRDefault="00336825">
      <w:pPr>
        <w:pStyle w:val="ManualNumPar1"/>
        <w:rPr>
          <w:noProof/>
        </w:rPr>
      </w:pPr>
      <w:bookmarkStart w:id="1" w:name="_CopyToNewDocument_"/>
      <w:bookmarkEnd w:id="1"/>
      <w:r>
        <w:rPr>
          <w:noProof/>
        </w:rPr>
        <w:t>1.</w:t>
      </w:r>
      <w:r>
        <w:rPr>
          <w:noProof/>
        </w:rPr>
        <w:tab/>
        <w:t>Το 2017, να εξασφαλίσει τη συμμόρφωση με τη σύσταση του Συμβουλίου τ</w:t>
      </w:r>
      <w:r>
        <w:rPr>
          <w:noProof/>
        </w:rPr>
        <w:t>ης [XX] με σκοπό τη διόρθωση της σημαντικής απόκλισης από την πορεία προσαρμογής προς την κατεύθυνση της επίτευξης του μεσοπρόθεσμου δημοσιονομικού στόχου. Το 2018, να συνεχίσει τη δημοσιονομική πολιτική της σύμφωνα με τις απαιτήσεις του προληπτικού σκέλου</w:t>
      </w:r>
      <w:r>
        <w:rPr>
          <w:noProof/>
        </w:rPr>
        <w:t>ς του Συμφώνου Σταθερότητας και Ανάπτυξης, κάτι που μεταφράζεται σε σημαντική δημοσιονομική προσπάθεια για το 2018. Να εξασφαλίσει την πλήρη εφαρμογή του δημοσιονομικού πλαισίου. Να ενισχύσει τη φορολογική συμμόρφωση και την είσπραξη φόρων. Να καταπολεμήσε</w:t>
      </w:r>
      <w:r>
        <w:rPr>
          <w:noProof/>
        </w:rPr>
        <w:t>ι την αδήλωτη εργασία, μεταξύ άλλων μέσω της διασφάλισης της συστηματικής χρήσης ολοκληρωμένων ελέγχων.</w:t>
      </w:r>
    </w:p>
    <w:p w:rsidR="00FD7807" w:rsidRDefault="00336825">
      <w:pPr>
        <w:pStyle w:val="ManualNumPar1"/>
        <w:rPr>
          <w:noProof/>
        </w:rPr>
      </w:pPr>
      <w:r>
        <w:rPr>
          <w:noProof/>
        </w:rPr>
        <w:t>2.</w:t>
      </w:r>
      <w:r>
        <w:rPr>
          <w:noProof/>
        </w:rPr>
        <w:tab/>
        <w:t>Να ενισχύσει τις στοχοθετημένες πολιτικές ενεργοποίησης και τις ολοκληρωμένες δημόσιες υπηρεσίες, με ιδιαίτερη έμφαση στα άτομα που είναι περισσότερο</w:t>
      </w:r>
      <w:r>
        <w:rPr>
          <w:noProof/>
        </w:rPr>
        <w:t xml:space="preserve"> αποκομμένα από την αγορά εργασίας. Να θεσπίσει νομοθεσία που θα εξισώνει την ηλικία συνταξιοδότησης για τους άνδρες και τις γυναίκες. Να καθιερώσει διαφανή μηχανισμό καθορισμού κατώτατων μισθών, σε διαβούλευση με τους κοινωνικούς εταίρους. Να βελτιώσει τη</w:t>
      </w:r>
      <w:r>
        <w:rPr>
          <w:noProof/>
        </w:rPr>
        <w:t>ν πρόσβαση σε ποιοτική κανονική εκπαίδευση, ιδίως για τους Ρομά και τα παιδιά στις αγροτικές περιοχές. Στην ιατροφαρμακευτική περίθαλψη, να στραφεί προς την περίθαλψη σε εξωτερικά ιατρεία και να περιορίσει τις άτυπες πληρωμές.</w:t>
      </w:r>
    </w:p>
    <w:p w:rsidR="00FD7807" w:rsidRDefault="00336825">
      <w:pPr>
        <w:pStyle w:val="ManualNumPar1"/>
        <w:rPr>
          <w:noProof/>
        </w:rPr>
      </w:pPr>
      <w:r>
        <w:rPr>
          <w:noProof/>
        </w:rPr>
        <w:t>3.</w:t>
      </w:r>
      <w:r>
        <w:rPr>
          <w:noProof/>
        </w:rPr>
        <w:tab/>
        <w:t xml:space="preserve">Να θεσπίσει νομοθεσία για </w:t>
      </w:r>
      <w:r>
        <w:rPr>
          <w:noProof/>
        </w:rPr>
        <w:t>να εξασφαλίσει μια επαγγελματική και ανεξάρτητη δημόσια διοίκηση, με την εφαρμογή αντικειμενικών κριτηρίων. Να ενισχύσει την ιεράρχηση και την προετοιμασία των έργων δημόσιων επενδύσεων. Να διασφαλίσει την έγκαιρη, πλήρη και διατηρήσιμη εφαρμογή της εθνική</w:t>
      </w:r>
      <w:r>
        <w:rPr>
          <w:noProof/>
        </w:rPr>
        <w:t>ς στρατηγικής για τις δημόσιες προμήθειες.</w:t>
      </w:r>
    </w:p>
    <w:p w:rsidR="00FD7807" w:rsidRDefault="00FD7807">
      <w:pPr>
        <w:rPr>
          <w:noProof/>
        </w:rPr>
      </w:pPr>
    </w:p>
    <w:p w:rsidR="00FD7807" w:rsidRDefault="00336825" w:rsidP="00336825">
      <w:pPr>
        <w:pStyle w:val="Fait"/>
        <w:rPr>
          <w:noProof/>
        </w:rPr>
      </w:pPr>
      <w:r w:rsidRPr="00336825">
        <w:t>Βρυξέλλες,</w:t>
      </w:r>
    </w:p>
    <w:p w:rsidR="00FD7807" w:rsidRDefault="00336825">
      <w:pPr>
        <w:pStyle w:val="Institutionquisigne"/>
        <w:rPr>
          <w:noProof/>
        </w:rPr>
      </w:pPr>
      <w:r>
        <w:rPr>
          <w:noProof/>
        </w:rPr>
        <w:tab/>
        <w:t>Για το Συμβούλιο</w:t>
      </w:r>
    </w:p>
    <w:p w:rsidR="00FD7807" w:rsidRDefault="00336825">
      <w:pPr>
        <w:pStyle w:val="Personnequisigne"/>
        <w:rPr>
          <w:noProof/>
        </w:rPr>
      </w:pPr>
      <w:r>
        <w:rPr>
          <w:noProof/>
        </w:rPr>
        <w:tab/>
        <w:t>Ο Πρόεδρος</w:t>
      </w:r>
    </w:p>
    <w:sectPr w:rsidR="00FD7807" w:rsidSect="00336825">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807" w:rsidRDefault="00336825">
      <w:pPr>
        <w:spacing w:before="0" w:after="0"/>
      </w:pPr>
      <w:r>
        <w:separator/>
      </w:r>
    </w:p>
  </w:endnote>
  <w:endnote w:type="continuationSeparator" w:id="0">
    <w:p w:rsidR="00FD7807" w:rsidRDefault="003368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25" w:rsidRPr="00336825" w:rsidRDefault="00336825" w:rsidP="003368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07" w:rsidRPr="00336825" w:rsidRDefault="00336825" w:rsidP="00336825">
    <w:pPr>
      <w:pStyle w:val="Footer"/>
      <w:rPr>
        <w:rFonts w:ascii="Arial" w:hAnsi="Arial" w:cs="Arial"/>
        <w:b/>
        <w:sz w:val="48"/>
      </w:rPr>
    </w:pPr>
    <w:r w:rsidRPr="00336825">
      <w:rPr>
        <w:rFonts w:ascii="Arial" w:hAnsi="Arial" w:cs="Arial"/>
        <w:b/>
        <w:sz w:val="48"/>
      </w:rPr>
      <w:t>EL</w:t>
    </w:r>
    <w:r w:rsidRPr="00336825">
      <w:rPr>
        <w:rFonts w:ascii="Arial" w:hAnsi="Arial" w:cs="Arial"/>
        <w:b/>
        <w:sz w:val="48"/>
      </w:rPr>
      <w:tab/>
    </w:r>
    <w:r w:rsidRPr="00336825">
      <w:rPr>
        <w:rFonts w:ascii="Arial" w:hAnsi="Arial" w:cs="Arial"/>
        <w:b/>
        <w:sz w:val="48"/>
      </w:rPr>
      <w:tab/>
    </w:r>
    <w:fldSimple w:instr=" DOCVARIABLE &quot;LW_Confidence&quot; \* MERGEFORMAT ">
      <w:r>
        <w:t xml:space="preserve"> </w:t>
      </w:r>
    </w:fldSimple>
    <w:r w:rsidRPr="00336825">
      <w:tab/>
    </w:r>
    <w:proofErr w:type="spellStart"/>
    <w:r w:rsidRPr="00336825">
      <w:rPr>
        <w:rFonts w:ascii="Arial" w:hAnsi="Arial" w:cs="Arial"/>
        <w:b/>
        <w:sz w:val="48"/>
      </w:rPr>
      <w:t>EL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25" w:rsidRPr="00336825" w:rsidRDefault="00336825" w:rsidP="003368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25" w:rsidRPr="00336825" w:rsidRDefault="00336825" w:rsidP="00336825">
    <w:pPr>
      <w:pStyle w:val="Footer"/>
      <w:rPr>
        <w:rFonts w:ascii="Arial" w:hAnsi="Arial" w:cs="Arial"/>
        <w:b/>
        <w:sz w:val="48"/>
      </w:rPr>
    </w:pPr>
    <w:r w:rsidRPr="00336825">
      <w:rPr>
        <w:rFonts w:ascii="Arial" w:hAnsi="Arial" w:cs="Arial"/>
        <w:b/>
        <w:sz w:val="48"/>
      </w:rPr>
      <w:t>EL</w:t>
    </w:r>
    <w:r w:rsidRPr="00336825">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336825">
      <w:tab/>
    </w:r>
    <w:r w:rsidRPr="00336825">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25" w:rsidRPr="00336825" w:rsidRDefault="00336825" w:rsidP="00336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807" w:rsidRDefault="00336825">
      <w:pPr>
        <w:spacing w:before="0" w:after="0"/>
      </w:pPr>
      <w:r>
        <w:separator/>
      </w:r>
    </w:p>
  </w:footnote>
  <w:footnote w:type="continuationSeparator" w:id="0">
    <w:p w:rsidR="00FD7807" w:rsidRDefault="00336825">
      <w:pPr>
        <w:spacing w:before="0" w:after="0"/>
      </w:pPr>
      <w:r>
        <w:continuationSeparator/>
      </w:r>
    </w:p>
  </w:footnote>
  <w:footnote w:id="1">
    <w:p w:rsidR="00FD7807" w:rsidRDefault="00336825">
      <w:pPr>
        <w:pStyle w:val="FootnoteText"/>
      </w:pPr>
      <w:r>
        <w:rPr>
          <w:rStyle w:val="FootnoteReference"/>
        </w:rPr>
        <w:footnoteRef/>
      </w:r>
      <w:r>
        <w:tab/>
        <w:t>ΕΕ L 209 της 2.8.1997, σ. 1.</w:t>
      </w:r>
    </w:p>
  </w:footnote>
  <w:footnote w:id="2">
    <w:p w:rsidR="00FD7807" w:rsidRDefault="00336825">
      <w:pPr>
        <w:pStyle w:val="FootnoteText"/>
      </w:pPr>
      <w:r>
        <w:rPr>
          <w:rStyle w:val="FootnoteReference"/>
        </w:rPr>
        <w:footnoteRef/>
      </w:r>
      <w:r>
        <w:tab/>
      </w:r>
      <w:r>
        <w:t xml:space="preserve">COM(2017) </w:t>
      </w:r>
      <w:r>
        <w:rPr>
          <w:lang w:val="en-GB"/>
        </w:rPr>
        <w:t>522 final</w:t>
      </w:r>
      <w:bookmarkStart w:id="0" w:name="_GoBack"/>
      <w:bookmarkEnd w:id="0"/>
      <w:r>
        <w:t>.</w:t>
      </w:r>
    </w:p>
  </w:footnote>
  <w:footnote w:id="3">
    <w:p w:rsidR="00FD7807" w:rsidRDefault="00336825">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P8_ TA(2017)0039 </w:t>
      </w:r>
      <w:r>
        <w:t>και</w:t>
      </w:r>
      <w:r>
        <w:rPr>
          <w:lang w:val="pt-PT"/>
        </w:rPr>
        <w:t xml:space="preserve"> P8_ TA(2017)0040.</w:t>
      </w:r>
    </w:p>
  </w:footnote>
  <w:footnote w:id="4">
    <w:p w:rsidR="00FD7807" w:rsidRDefault="00336825">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5">
    <w:p w:rsidR="00FD7807" w:rsidRDefault="00336825">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6">
    <w:p w:rsidR="00FD7807" w:rsidRDefault="00336825">
      <w:pPr>
        <w:pStyle w:val="FootnoteText"/>
      </w:pPr>
      <w:r>
        <w:rPr>
          <w:rStyle w:val="FootnoteReference"/>
        </w:rPr>
        <w:footnoteRef/>
      </w:r>
      <w:r>
        <w:tab/>
      </w:r>
      <w:r>
        <w:t xml:space="preserve">COM(2017) 88 </w:t>
      </w:r>
      <w:proofErr w:type="spellStart"/>
      <w:r>
        <w:t>final</w:t>
      </w:r>
      <w:proofErr w:type="spellEnd"/>
      <w:r>
        <w:t>.</w:t>
      </w:r>
    </w:p>
  </w:footnote>
  <w:footnote w:id="7">
    <w:p w:rsidR="00FD7807" w:rsidRDefault="00336825">
      <w:pPr>
        <w:pStyle w:val="FootnoteText"/>
      </w:pPr>
      <w:r>
        <w:rPr>
          <w:rStyle w:val="FootnoteReference"/>
        </w:rPr>
        <w:footnoteRef/>
      </w:r>
      <w:r>
        <w:tab/>
      </w:r>
      <w:r>
        <w:t>Άρθρο 23 του κανονισμού (ΕΕ) αριθ. 1303/2013 του Ευρωπαϊκού Κοινοβουλίου και του Συμβουλίου, της 17ης Δεκεμβρίου 2013, περί καθορ</w:t>
      </w:r>
      <w:r>
        <w:t>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w:t>
      </w:r>
      <w:r>
        <w:t>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 του Συμβουλίου, ΕΕ L 347 της 20.12.2013, σ. 320.</w:t>
      </w:r>
    </w:p>
  </w:footnote>
  <w:footnote w:id="8">
    <w:p w:rsidR="00FD7807" w:rsidRDefault="00336825">
      <w:pPr>
        <w:spacing w:before="0" w:after="0"/>
      </w:pPr>
      <w:r>
        <w:rPr>
          <w:rStyle w:val="FootnoteReference"/>
        </w:rPr>
        <w:footnoteRef/>
      </w:r>
      <w:r>
        <w:tab/>
      </w:r>
      <w:r>
        <w:rPr>
          <w:sz w:val="20"/>
        </w:rPr>
        <w:t>COM(20</w:t>
      </w:r>
      <w:r>
        <w:rPr>
          <w:sz w:val="20"/>
        </w:rPr>
        <w:t xml:space="preserve">14) 494 </w:t>
      </w:r>
      <w:proofErr w:type="spellStart"/>
      <w:r>
        <w:rPr>
          <w:sz w:val="20"/>
        </w:rPr>
        <w:t>final</w:t>
      </w:r>
      <w:proofErr w:type="spellEnd"/>
      <w:r>
        <w:rPr>
          <w:sz w:val="20"/>
        </w:rPr>
        <w:t>.</w:t>
      </w:r>
    </w:p>
  </w:footnote>
  <w:footnote w:id="9">
    <w:p w:rsidR="00FD7807" w:rsidRDefault="00336825">
      <w:pPr>
        <w:pStyle w:val="FootnoteText"/>
      </w:pPr>
      <w:r>
        <w:rPr>
          <w:rStyle w:val="FootnoteReference"/>
        </w:rPr>
        <w:footnoteRef/>
      </w:r>
      <w:r>
        <w:tab/>
      </w:r>
      <w:r>
        <w:t>Κυκλικά προσαρμοσμένο ισοζύγιο, μη συνυπολογιζομένων έκτακτων και άλλων προσωρινών μέτρων, όπως υπολογίσθηκε εκ νέου από την Επιτροπή με χρησιμοποίηση της από κοινού συμφωνηθείσας μεθοδολογίας.</w:t>
      </w:r>
    </w:p>
  </w:footnote>
  <w:footnote w:id="10">
    <w:p w:rsidR="00FD7807" w:rsidRDefault="00336825">
      <w:pPr>
        <w:pStyle w:val="FootnoteText"/>
      </w:pPr>
      <w:r>
        <w:rPr>
          <w:rStyle w:val="FootnoteReference"/>
        </w:rPr>
        <w:footnoteRef/>
      </w:r>
      <w:r>
        <w:tab/>
      </w:r>
      <w:r>
        <w:t>Οι καθαρές δημόσιες δαπάνες αποτελούνται απ</w:t>
      </w:r>
      <w:r>
        <w:t xml:space="preserve">ό τις συνολικές δημόσιες δαπάνες εξαιρουμένων των δαπανών για τόκους, των δαπανών για προγράμματα της Ένωσης που αναπληρώνονται στο σύνολό τους από </w:t>
      </w:r>
      <w:proofErr w:type="spellStart"/>
      <w:r>
        <w:t>ενωσιακά</w:t>
      </w:r>
      <w:proofErr w:type="spellEnd"/>
      <w:r>
        <w:t xml:space="preserve"> κονδύλια και των αλλαγών μη διακριτικής ευχέρειας στη χρηματοδότηση των παροχών ανεργίας. Ο εθνικά </w:t>
      </w:r>
      <w:r>
        <w:t xml:space="preserve">χρηματοδοτούμενος ακαθάριστος σχηματισμός παγίου κεφαλαίου εξομαλύνεται σε διάστημα τετραετίας. Συνυπολογίζονται τα μέτρα διακριτικής ευχέρειας ή οι αυξήσεις εσόδων που είναι υποχρεωτικές διά νόμου. Τα έκτακτα μέτρα από πλευράς τόσο εσόδων όσο και δαπανών </w:t>
      </w:r>
      <w:r>
        <w:t>συμψηφίζονται.</w:t>
      </w:r>
    </w:p>
  </w:footnote>
  <w:footnote w:id="11">
    <w:p w:rsidR="00FD7807" w:rsidRDefault="00336825">
      <w:pPr>
        <w:pStyle w:val="FootnoteText"/>
      </w:pPr>
      <w:r>
        <w:rPr>
          <w:rStyle w:val="FootnoteReference"/>
        </w:rPr>
        <w:footnoteRef/>
      </w:r>
      <w:r>
        <w:tab/>
      </w:r>
      <w:r>
        <w:t>Δυνάμει του άρθρου 9 παράγραφος 2 του κανονισμού (ΕΚ) αριθ. 1466/97 του Συμβουλίου.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25" w:rsidRPr="00336825" w:rsidRDefault="00336825" w:rsidP="00336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25" w:rsidRPr="00336825" w:rsidRDefault="00336825" w:rsidP="003368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25" w:rsidRPr="00336825" w:rsidRDefault="00336825" w:rsidP="00336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9FEC3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024F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0064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794B1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DE2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0C19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AEE2252"/>
    <w:lvl w:ilvl="0">
      <w:start w:val="1"/>
      <w:numFmt w:val="decimal"/>
      <w:pStyle w:val="ListNumber"/>
      <w:lvlText w:val="%1."/>
      <w:lvlJc w:val="left"/>
      <w:pPr>
        <w:tabs>
          <w:tab w:val="num" w:pos="360"/>
        </w:tabs>
        <w:ind w:left="360" w:hanging="360"/>
      </w:pPr>
    </w:lvl>
  </w:abstractNum>
  <w:abstractNum w:abstractNumId="7">
    <w:nsid w:val="FFFFFF89"/>
    <w:multiLevelType w:val="singleLevel"/>
    <w:tmpl w:val="5A7A82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9 16:35: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E703A71A08A64618BBBA08450601C46F"/>
    <w:docVar w:name="LW_CROSSREFERENCE" w:val="&lt;UNUSED&gt;"/>
    <w:docVar w:name="LW_DocType" w:val="COM"/>
    <w:docVar w:name="LW_EMISSION" w:val="22.5.2017"/>
    <w:docVar w:name="LW_EMISSION_ISODATE" w:val="2017-05-22"/>
    <w:docVar w:name="LW_EMISSION_LOCATION" w:val="BRX"/>
    <w:docVar w:name="LW_EMISSION_PREFIX" w:val="\u914?\u961?\u965?\u958?\u941?\u955?\u955?\u949?\u962?,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22"/>
    <w:docVar w:name="LW_REF.INTERNE" w:val="&lt;UNUSED&gt;"/>
    <w:docVar w:name="LW_SOUS.TITRE.OBJ.CP" w:val="&lt;UNUSED&gt;"/>
    <w:docVar w:name="LW_STATUT.CP" w:val="\u931?\u973?\u963?\u964?\u945?\u963?\u951? \u947?\u953?\u945?"/>
    <w:docVar w:name="LW_SUPERTITRE" w:val="&lt;UNUSED&gt;"/>
    <w:docVar w:name="LW_TITRE.OBJ.CP" w:val="\u963?\u967?\u949?\u964?\u953?\u954?\u940? \u956?\u949? \u964?\u959? \u949?\u952?\u957?\u953?\u954?\u972? \u960?\u961?\u972?\u947?\u961?\u945?\u956?\u956?\u945? \u956?\u949?\u964?\u945?\u961?\u961?\u965?\u952?\u956?\u943?\u963?\u949?\u969?\u957? \u964?\u951?\u962? \u929?\u959?\u965?\u956?\u945?\u957?\u943?\u945?\u962? \u947?\u953?\u945? \u964?\u959? 2017_x000b__x000b_\u954?\u945?\u953? \u964?\u951? \u948?\u953?\u945?\u964?\u973?\u960?\u969?\u963?\u951? \u947?\u957?\u974?\u956?\u951?\u962? \u964?\u959?\u965? \u931?\u965?\u956?\u946?\u959?\u965?\u955?\u943?\u959?\u965? \u963?\u967?\u949?\u964?\u953?\u954?\u940? \u956?\u949? \u964?\u959? \u960?\u961?\u972?\u947?\u961?\u945?\u956?\u956?\u945? \u963?\u973?\u947?\u954?\u955?\u953?\u963?\u951?\u962? \u964?\u951?\u962? \u929?\u959?\u965?\u956?\u945?\u957?\u943?\u945?\u962? \u947?\u953?\u945? \u964?\u959? 2017"/>
    <w:docVar w:name="LW_TYPE.DOC.CP" w:val="\u931?\u933?\u931?\u932?\u913?\u931?\u919? \u932?\u927?\u933? \u931?\u933?\u924?\u914?\u927?\u933?\u923?\u921?\u927?\u933?"/>
  </w:docVars>
  <w:rsids>
    <w:rsidRoot w:val="00FD7807"/>
    <w:rsid w:val="00336825"/>
    <w:rsid w:val="00FD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styleId="ListParagraph">
    <w:name w:val="List Paragraph"/>
    <w:basedOn w:val="Normal"/>
    <w:uiPriority w:val="34"/>
    <w:qFormat/>
    <w:pPr>
      <w:spacing w:before="0" w:after="0"/>
      <w:ind w:left="720"/>
      <w:contextualSpacing/>
      <w:jc w:val="left"/>
    </w:pPr>
    <w:rPr>
      <w:rFonts w:ascii="Calibri" w:hAnsi="Calibri"/>
      <w:sz w:val="22"/>
    </w:rPr>
  </w:style>
  <w:style w:type="paragraph" w:styleId="Header">
    <w:name w:val="header"/>
    <w:basedOn w:val="Normal"/>
    <w:link w:val="HeaderChar"/>
    <w:uiPriority w:val="99"/>
    <w:unhideWhenUsed/>
    <w:rsid w:val="0033682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3682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3682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styleId="ListParagraph">
    <w:name w:val="List Paragraph"/>
    <w:basedOn w:val="Normal"/>
    <w:uiPriority w:val="34"/>
    <w:qFormat/>
    <w:pPr>
      <w:spacing w:before="0" w:after="0"/>
      <w:ind w:left="720"/>
      <w:contextualSpacing/>
      <w:jc w:val="left"/>
    </w:pPr>
    <w:rPr>
      <w:rFonts w:ascii="Calibri" w:hAnsi="Calibri"/>
      <w:sz w:val="22"/>
    </w:rPr>
  </w:style>
  <w:style w:type="paragraph" w:styleId="Header">
    <w:name w:val="header"/>
    <w:basedOn w:val="Normal"/>
    <w:link w:val="HeaderChar"/>
    <w:uiPriority w:val="99"/>
    <w:unhideWhenUsed/>
    <w:rsid w:val="0033682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3682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3682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CAB8-48F7-4135-A33C-02B796CB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4584</Words>
  <Characters>27460</Characters>
  <Application>Microsoft Office Word</Application>
  <DocSecurity>0</DocSecurity>
  <Lines>457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2017-05-26T11:22:00Z</dcterms:created>
  <dcterms:modified xsi:type="dcterms:W3CDTF">2017-05-30T09:28:00Z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