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6A4" w:rsidRDefault="00C67E2E" w:rsidP="00C67E2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CF8F818AAFC40FCB4831CD2C8D8EBB8" style="width:450.4pt;height:365.85pt">
            <v:imagedata r:id="rId8" o:title=""/>
          </v:shape>
        </w:pict>
      </w:r>
    </w:p>
    <w:p w:rsidR="00FA46A4" w:rsidRDefault="00FA46A4">
      <w:pPr>
        <w:rPr>
          <w:noProof/>
        </w:rPr>
        <w:sectPr w:rsidR="00FA46A4" w:rsidSect="00C67E2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FA46A4" w:rsidRDefault="00FA46A4">
      <w:pPr>
        <w:pStyle w:val="Exposdesmotifstitre"/>
        <w:rPr>
          <w:noProof/>
        </w:rPr>
      </w:pPr>
    </w:p>
    <w:p w:rsidR="00FA46A4" w:rsidRDefault="00FA46A4">
      <w:pPr>
        <w:rPr>
          <w:noProof/>
        </w:rPr>
      </w:pPr>
    </w:p>
    <w:p w:rsidR="00FA46A4" w:rsidRDefault="00C67E2E" w:rsidP="00C67E2E">
      <w:pPr>
        <w:pStyle w:val="Statut"/>
        <w:rPr>
          <w:noProof/>
        </w:rPr>
      </w:pPr>
      <w:r w:rsidRPr="00C67E2E">
        <w:t>Σύσταση για</w:t>
      </w:r>
    </w:p>
    <w:p w:rsidR="00FA46A4" w:rsidRDefault="00C67E2E" w:rsidP="00C67E2E">
      <w:pPr>
        <w:pStyle w:val="Typedudocument"/>
        <w:rPr>
          <w:noProof/>
        </w:rPr>
      </w:pPr>
      <w:r w:rsidRPr="00C67E2E">
        <w:t>ΣΥΣΤΑΣΗ ΤΟΥ ΣΥΜΒΟΥΛΙΟΥ</w:t>
      </w:r>
    </w:p>
    <w:p w:rsidR="00FA46A4" w:rsidRDefault="00C67E2E" w:rsidP="00C67E2E">
      <w:pPr>
        <w:pStyle w:val="Titreobjet"/>
        <w:rPr>
          <w:noProof/>
        </w:rPr>
      </w:pPr>
      <w:r w:rsidRPr="00C67E2E">
        <w:t xml:space="preserve">σχετικά με το εθνικό πρόγραμμα μεταρρυθμίσεων της Βουλγαρίας για το 2017 </w:t>
      </w:r>
      <w:r w:rsidRPr="00C67E2E">
        <w:br/>
      </w:r>
      <w:r w:rsidRPr="00C67E2E">
        <w:br/>
        <w:t>και τη διατύπωση γνώμης του Συμβουλίου σχετικά με το πρόγραμμα σύγκλισης της Βουλγαρίας για το 2017</w:t>
      </w:r>
    </w:p>
    <w:p w:rsidR="00FA46A4" w:rsidRDefault="00C67E2E">
      <w:pPr>
        <w:pStyle w:val="Institutionquiagit"/>
        <w:rPr>
          <w:noProof/>
        </w:rPr>
      </w:pPr>
      <w:r>
        <w:rPr>
          <w:noProof/>
        </w:rPr>
        <w:t>ΤΟ ΣΥΜΒΟΥΛΙΟ ΤΗΣ ΕΥΡΩΠΑΪΚΗΣ ΕΝΩΣΗΣ,</w:t>
      </w:r>
    </w:p>
    <w:p w:rsidR="00FA46A4" w:rsidRDefault="00C67E2E">
      <w:pPr>
        <w:rPr>
          <w:noProof/>
        </w:rPr>
      </w:pPr>
      <w:r>
        <w:rPr>
          <w:noProof/>
        </w:rPr>
        <w:t>Έχοντας υπόψη τη Συνθήκη για τη λειτουργία τη</w:t>
      </w:r>
      <w:r>
        <w:rPr>
          <w:noProof/>
        </w:rPr>
        <w:t>ς Ευρωπαϊκής Ένωσης, και ιδίως το άρθρο 121 παράγραφος 2 και το άρθρο 148 παράγραφος 4,</w:t>
      </w:r>
    </w:p>
    <w:p w:rsidR="00FA46A4" w:rsidRDefault="00C67E2E">
      <w:pPr>
        <w:rPr>
          <w:noProof/>
        </w:rPr>
      </w:pPr>
      <w:r>
        <w:rPr>
          <w:noProof/>
        </w:rPr>
        <w:t>Έχοντας υπόψη τον κανονισμό (ΕΚ) αριθ. 1466/97 του Συμβουλίου, της 7ης Ιουλίου 1997, για την ενίσχυση της εποπτείας της δημοσιονομικής κατάστασης και την εποπτεία και τ</w:t>
      </w:r>
      <w:r>
        <w:rPr>
          <w:noProof/>
        </w:rPr>
        <w:t>ο συντονισμό των οικονομικών πολιτικών</w:t>
      </w:r>
      <w:r>
        <w:rPr>
          <w:rStyle w:val="FootnoteReference"/>
          <w:noProof/>
        </w:rPr>
        <w:footnoteReference w:id="2"/>
      </w:r>
      <w:r>
        <w:rPr>
          <w:noProof/>
        </w:rPr>
        <w:t>, και ιδίως το άρθρο 9 παράγραφος 2,</w:t>
      </w:r>
    </w:p>
    <w:p w:rsidR="00FA46A4" w:rsidRDefault="00C67E2E">
      <w:pPr>
        <w:rPr>
          <w:noProof/>
        </w:rPr>
      </w:pPr>
      <w:r>
        <w:rPr>
          <w:noProof/>
        </w:rPr>
        <w:t>Έχοντας υπόψη τον κανονισμό (ΕΕ) αριθ. 1176/2011 του Ευρωπαϊκού Κοινοβουλίου και του Συμβουλίου, της 16ης Νοεμβρίου 2011, σχετικά με την πρόληψη και τη διόρθωση των υπερβολικών μακ</w:t>
      </w:r>
      <w:r>
        <w:rPr>
          <w:noProof/>
        </w:rPr>
        <w:t>ροοικονομικών ανισορροπιών</w:t>
      </w:r>
      <w:r>
        <w:rPr>
          <w:rStyle w:val="FootnoteReference"/>
          <w:noProof/>
        </w:rPr>
        <w:footnoteReference w:id="3"/>
      </w:r>
      <w:r>
        <w:rPr>
          <w:noProof/>
        </w:rPr>
        <w:t>, και ιδίως το άρθρο 6 παράγραφος 1,</w:t>
      </w:r>
    </w:p>
    <w:p w:rsidR="00FA46A4" w:rsidRDefault="00C67E2E">
      <w:pPr>
        <w:rPr>
          <w:noProof/>
        </w:rPr>
      </w:pPr>
      <w:r>
        <w:rPr>
          <w:noProof/>
        </w:rPr>
        <w:t>Έχοντας υπόψη τη σύσταση της Ευρωπαϊκής Επιτροπής</w:t>
      </w:r>
      <w:r>
        <w:rPr>
          <w:rStyle w:val="FootnoteReference"/>
          <w:noProof/>
        </w:rPr>
        <w:footnoteReference w:id="4"/>
      </w:r>
      <w:r>
        <w:rPr>
          <w:noProof/>
        </w:rPr>
        <w:t>,</w:t>
      </w:r>
    </w:p>
    <w:p w:rsidR="00FA46A4" w:rsidRDefault="00C67E2E">
      <w:pPr>
        <w:rPr>
          <w:noProof/>
        </w:rPr>
      </w:pPr>
      <w:r>
        <w:rPr>
          <w:noProof/>
        </w:rPr>
        <w:t>Έχοντας υπόψη τα ψηφίσματα του Ευρωπαϊκού Κοινοβουλίου</w:t>
      </w:r>
      <w:r>
        <w:rPr>
          <w:rStyle w:val="FootnoteReference"/>
          <w:noProof/>
        </w:rPr>
        <w:footnoteReference w:id="5"/>
      </w:r>
      <w:r>
        <w:rPr>
          <w:noProof/>
        </w:rPr>
        <w:t>,</w:t>
      </w:r>
    </w:p>
    <w:p w:rsidR="00FA46A4" w:rsidRDefault="00C67E2E">
      <w:pPr>
        <w:outlineLvl w:val="0"/>
        <w:rPr>
          <w:noProof/>
        </w:rPr>
      </w:pPr>
      <w:r>
        <w:rPr>
          <w:noProof/>
        </w:rPr>
        <w:t>Έχοντας υπόψη τα συμπεράσματα του Ευρωπαϊκού Συμβουλίου,</w:t>
      </w:r>
    </w:p>
    <w:p w:rsidR="00FA46A4" w:rsidRDefault="00C67E2E">
      <w:pPr>
        <w:rPr>
          <w:noProof/>
        </w:rPr>
      </w:pPr>
      <w:r>
        <w:rPr>
          <w:noProof/>
        </w:rPr>
        <w:t>Έχοντας υπόψη τη γνώμη της</w:t>
      </w:r>
      <w:r>
        <w:rPr>
          <w:noProof/>
        </w:rPr>
        <w:t xml:space="preserve"> Επιτροπής Απασχόλησης,</w:t>
      </w:r>
    </w:p>
    <w:p w:rsidR="00FA46A4" w:rsidRDefault="00C67E2E">
      <w:pPr>
        <w:rPr>
          <w:noProof/>
        </w:rPr>
      </w:pPr>
      <w:r>
        <w:rPr>
          <w:noProof/>
        </w:rPr>
        <w:t>Έχοντας υπόψη τη γνώμη της Οικονομικής και Δημοσιονομικής Επιτροπής,</w:t>
      </w:r>
    </w:p>
    <w:p w:rsidR="00FA46A4" w:rsidRDefault="00C67E2E">
      <w:pPr>
        <w:rPr>
          <w:noProof/>
        </w:rPr>
      </w:pPr>
      <w:r>
        <w:rPr>
          <w:noProof/>
        </w:rPr>
        <w:t>Έχοντας υπόψη τη γνώμη της Επιτροπής Κοινωνικής Προστασίας,</w:t>
      </w:r>
    </w:p>
    <w:p w:rsidR="00FA46A4" w:rsidRDefault="00C67E2E">
      <w:pPr>
        <w:rPr>
          <w:noProof/>
        </w:rPr>
      </w:pPr>
      <w:r>
        <w:rPr>
          <w:noProof/>
        </w:rPr>
        <w:t>Έχοντας υπόψη τη γνώμη της Επιτροπής Οικονομικής Πολιτικής,</w:t>
      </w:r>
    </w:p>
    <w:p w:rsidR="00FA46A4" w:rsidRDefault="00C67E2E">
      <w:pPr>
        <w:rPr>
          <w:noProof/>
        </w:rPr>
      </w:pPr>
      <w:r>
        <w:rPr>
          <w:noProof/>
        </w:rPr>
        <w:t>Εκτιμώντας τα ακόλουθα:</w:t>
      </w:r>
    </w:p>
    <w:p w:rsidR="00FA46A4" w:rsidRDefault="00C67E2E">
      <w:pPr>
        <w:pStyle w:val="Point0number"/>
        <w:numPr>
          <w:ilvl w:val="0"/>
          <w:numId w:val="1"/>
        </w:numPr>
        <w:rPr>
          <w:noProof/>
        </w:rPr>
      </w:pPr>
      <w:r>
        <w:rPr>
          <w:noProof/>
        </w:rPr>
        <w:t xml:space="preserve">Στις 16 Νοεμβρίου </w:t>
      </w:r>
      <w:r>
        <w:rPr>
          <w:noProof/>
        </w:rPr>
        <w:t>2016, η Επιτροπή εξέδωσε την Ετήσια Επισκόπηση της Ανάπτυξης</w:t>
      </w:r>
      <w:r>
        <w:rPr>
          <w:rStyle w:val="FootnoteReference"/>
          <w:noProof/>
        </w:rPr>
        <w:footnoteReference w:id="6"/>
      </w:r>
      <w:r>
        <w:rPr>
          <w:noProof/>
        </w:rPr>
        <w:t>, με την οποία σηματοδοτήθηκε η έναρξη του Ευρωπαϊκού Εξαμήνου του 2017 σχετικά με τον συντονισμό των οικονομικών πολιτικών. Οι προτεραιότητες της Ετήσιας Επισκόπησης της Ανάπτυξης εγκρίθηκαν από</w:t>
      </w:r>
      <w:r>
        <w:rPr>
          <w:noProof/>
        </w:rPr>
        <w:t xml:space="preserve"> το Ευρωπαϊκό Συμβούλιο στις 9-10 Μαρτίου 2017. Στις 16 Νοεμβρίου 2016, βάσει του κανονισμού (ΕΕ) αριθ. 1176/2011, η Επιτροπή εξέδωσε την έκθεση του μηχανισμού επαγρύπνησης</w:t>
      </w:r>
      <w:r>
        <w:rPr>
          <w:rStyle w:val="FootnoteReference"/>
          <w:noProof/>
        </w:rPr>
        <w:footnoteReference w:id="7"/>
      </w:r>
      <w:r>
        <w:rPr>
          <w:noProof/>
        </w:rPr>
        <w:t xml:space="preserve">, στην </w:t>
      </w:r>
      <w:r>
        <w:rPr>
          <w:noProof/>
        </w:rPr>
        <w:lastRenderedPageBreak/>
        <w:t>οποία η Βουλγαρία συγκαταλέγεται μεταξύ των κρατών μελών για τα οποία επρόκε</w:t>
      </w:r>
      <w:r>
        <w:rPr>
          <w:noProof/>
        </w:rPr>
        <w:t xml:space="preserve">ιτο να πραγματοποιηθεί εμπεριστατωμένη επισκόπηση. </w:t>
      </w:r>
    </w:p>
    <w:p w:rsidR="00FA46A4" w:rsidRDefault="00C67E2E">
      <w:pPr>
        <w:pStyle w:val="Point0number"/>
        <w:numPr>
          <w:ilvl w:val="0"/>
          <w:numId w:val="1"/>
        </w:numPr>
        <w:rPr>
          <w:noProof/>
        </w:rPr>
      </w:pPr>
      <w:r>
        <w:rPr>
          <w:noProof/>
        </w:rPr>
        <w:t>Η έκθεση χώρας του 2017 για την Βουλγαρία</w:t>
      </w:r>
      <w:r>
        <w:rPr>
          <w:rStyle w:val="FootnoteReference"/>
          <w:noProof/>
        </w:rPr>
        <w:footnoteReference w:id="8"/>
      </w:r>
      <w:r>
        <w:rPr>
          <w:noProof/>
        </w:rPr>
        <w:t xml:space="preserve"> δημοσιεύθηκε στις 22 Φεβρουαρίου 2017. Στην έκθεση αξιολογήθηκε η πρόοδος της Βουλγαρίας όσον αφορά την εφαρμογή των ειδικών ανά χώρα συστάσεων που εκδόθηκαν από</w:t>
      </w:r>
      <w:r>
        <w:rPr>
          <w:noProof/>
        </w:rPr>
        <w:t xml:space="preserve"> το Συμβούλιο στις 12 Ιουλίου 2016, η συνέχεια που δόθηκε στις συστάσεις που είχαν εκδοθεί κατά τα προηγούμενα έτη και η πρόοδος της Βουλγαρίας ως προς την επίτευξη των εθνικών στόχων στο πλαίσιο της στρατηγικής «Ευρώπη 2020». Επιπλέον, περιλάμβανε εμπερισ</w:t>
      </w:r>
      <w:r>
        <w:rPr>
          <w:noProof/>
        </w:rPr>
        <w:t>τατωμένη επισκόπηση δυνάμει του άρθρου 5 του κανονισμού (ΕΕ) αριθ. 1176/2011, τα αποτελέσματα της οποίας δημοσιεύθηκαν επίσης στις 22 Φεβρουαρίου 2017</w:t>
      </w:r>
      <w:r>
        <w:rPr>
          <w:rStyle w:val="FootnoteReference"/>
          <w:noProof/>
        </w:rPr>
        <w:footnoteReference w:id="9"/>
      </w:r>
      <w:r>
        <w:rPr>
          <w:noProof/>
        </w:rPr>
        <w:t>. Από την ανάλυσή της, η Επιτροπή καταλήγει στο συμπέρασμα ότι η Βουλγαρία παρουσιάζει υπερβολικές μακροο</w:t>
      </w:r>
      <w:r>
        <w:rPr>
          <w:noProof/>
        </w:rPr>
        <w:t xml:space="preserve">ικονομικές ανισορροπίες. Ειδικότερα, η Βουλγαρία εξακολουθεί να αντιμετωπίζει ανισορροπίες που συνδέονται με εναπομένουσες αδυναμίες του χρηματοπιστωτικού τομέα και υψηλό εταιρικό δανεισμό σε συνθήκες υψηλής μακροχρόνιας ανεργίας. </w:t>
      </w:r>
    </w:p>
    <w:p w:rsidR="00FA46A4" w:rsidRDefault="00C67E2E">
      <w:pPr>
        <w:pStyle w:val="Point0number"/>
        <w:numPr>
          <w:ilvl w:val="0"/>
          <w:numId w:val="1"/>
        </w:numPr>
        <w:rPr>
          <w:noProof/>
        </w:rPr>
      </w:pPr>
      <w:r>
        <w:rPr>
          <w:noProof/>
        </w:rPr>
        <w:t xml:space="preserve">Η Βουλγαρία δεν υπέβαλε </w:t>
      </w:r>
      <w:r>
        <w:rPr>
          <w:noProof/>
        </w:rPr>
        <w:t>το εθνικό της πρόγραμμα μεταρρυθμίσεων του 2017 και το πρόγραμμα σύγκλισης του 2017 εντός της ταχθείσας προθεσμίας.</w:t>
      </w:r>
    </w:p>
    <w:p w:rsidR="00FA46A4" w:rsidRDefault="00C67E2E">
      <w:pPr>
        <w:pStyle w:val="Point0number"/>
        <w:rPr>
          <w:noProof/>
        </w:rPr>
      </w:pPr>
      <w:r>
        <w:rPr>
          <w:noProof/>
        </w:rPr>
        <w:t>Οι σχετικές ειδικές ανά χώρα συστάσεις ελήφθησαν υπόψη στα προγράμματα των κρατών μελών για τα Ευρωπαϊκά Διαρθρωτικά και Επενδυτικά Ταμεία (</w:t>
      </w:r>
      <w:r>
        <w:rPr>
          <w:noProof/>
        </w:rPr>
        <w:t>ΕΔΕΤ) που καλύπτουν την περίοδο 2014-2020. Όπως προβλέπεται στη νομοθεσία που διέπει τα ΕΔΕΤ</w:t>
      </w:r>
      <w:r>
        <w:rPr>
          <w:rStyle w:val="FootnoteReference"/>
          <w:noProof/>
        </w:rPr>
        <w:footnoteReference w:id="10"/>
      </w:r>
      <w:r>
        <w:rPr>
          <w:noProof/>
        </w:rPr>
        <w:t>, όταν είναι αναγκαίο για τη στήριξη της εφαρμογής των σχετικών ειδικών ανά χώρα συστάσεων, η Επιτροπή μπορεί να ζητήσει από ένα κράτος μέλος να επανεξετάσει και ν</w:t>
      </w:r>
      <w:r>
        <w:rPr>
          <w:noProof/>
        </w:rPr>
        <w:t>α τροποποιήσει τα οικεία προγράμματα ΕΔΕΤ. Η Επιτροπή έχει παράσχει περαιτέρω κατευθυντήριες γραμμές σχετικά με την εφαρμογή των εν λόγω κανόνων</w:t>
      </w:r>
      <w:r>
        <w:rPr>
          <w:rStyle w:val="FootnoteReference"/>
          <w:noProof/>
        </w:rPr>
        <w:footnoteReference w:id="11"/>
      </w:r>
      <w:r>
        <w:rPr>
          <w:noProof/>
        </w:rPr>
        <w:t>.</w:t>
      </w:r>
    </w:p>
    <w:p w:rsidR="00FA46A4" w:rsidRDefault="00C67E2E">
      <w:pPr>
        <w:pStyle w:val="Point0number"/>
        <w:rPr>
          <w:noProof/>
        </w:rPr>
      </w:pPr>
      <w:r>
        <w:rPr>
          <w:noProof/>
        </w:rPr>
        <w:t>Η Βουλγαρία υπάγεται επί του παρόντος στο προληπτικό σκέλος του Συμφώνου Σταθερότητας και Ανάπτυξης. Η κυβέρν</w:t>
      </w:r>
      <w:r>
        <w:rPr>
          <w:noProof/>
        </w:rPr>
        <w:t xml:space="preserve">ηση δεν υπέβαλε το πρόγραμμα σύγκλισης του 2017 εντός της προθεσμίας που ορίζεται από τον κανονισμό (ΕΚ) αριθ. 1466/97. </w:t>
      </w:r>
    </w:p>
    <w:p w:rsidR="00FA46A4" w:rsidRDefault="00C67E2E">
      <w:pPr>
        <w:pStyle w:val="Point0number"/>
        <w:rPr>
          <w:noProof/>
        </w:rPr>
      </w:pPr>
      <w:r>
        <w:rPr>
          <w:noProof/>
        </w:rPr>
        <w:t>Στις 12 Ιουλίου 2016 το Συμβούλιο συνέστησε στη Βουλγαρία να επιτύχει, για το 2017, ετήσια δημοσιονομική προσαρμογή 0,5% του ΑΕΠ προς τ</w:t>
      </w:r>
      <w:r>
        <w:rPr>
          <w:noProof/>
        </w:rPr>
        <w:t>ην κατεύθυνση της επίτευξης του μεσοπρόθεσμου δημοσιονομικού στόχου. Τα απολογιστικά στοιχεία δείχνουν ότι η Βουλγαρία είχε ήδη επιτύχει τον μεσοπρόθεσμο δημοσιονομικό στόχο της το 2016. Με βάση τις εαρινές προβλέψεις της Επιτροπής του 2017, το διαρθρωτικό</w:t>
      </w:r>
      <w:r>
        <w:rPr>
          <w:noProof/>
        </w:rPr>
        <w:t xml:space="preserve"> ισοζύγιο προβλέπεται να επιδεινωθεί από πλεόνασμα 0,1% του ΑΕΠ το 2016 σε έλλειμμα 0,4% του ΑΕΠ το 2017 και 0,3% του ΑΕΠ το 2018, υπό την προϋπόθεση ότι δεν θα υπάρξει αλλαγή πολιτικής. Παρά την εν λόγω επιδείνωση, το διαρθρωτικό ισοζύγιο προβλέπεται να π</w:t>
      </w:r>
      <w:r>
        <w:rPr>
          <w:noProof/>
        </w:rPr>
        <w:t xml:space="preserve">αραμείνει υψηλότερο από τον μεσοπρόθεσμο δημοσιονομικό στόχο και κατά τα δύο έτη. Συνολικά, το Συμβούλιο είναι της </w:t>
      </w:r>
      <w:r>
        <w:rPr>
          <w:noProof/>
        </w:rPr>
        <w:lastRenderedPageBreak/>
        <w:t>γνώμης ότι η Βουλγαρία προβλέπεται να συμμορφωθεί με τις διατάξεις του Συμφώνου Σταθερότητας και Ανάπτυξης το 2017 και το 2018.</w:t>
      </w:r>
    </w:p>
    <w:p w:rsidR="00FA46A4" w:rsidRDefault="00C67E2E">
      <w:pPr>
        <w:pStyle w:val="Point0number"/>
        <w:rPr>
          <w:noProof/>
        </w:rPr>
      </w:pPr>
      <w:r>
        <w:rPr>
          <w:noProof/>
        </w:rPr>
        <w:t>Οι προσπάθειε</w:t>
      </w:r>
      <w:r>
        <w:rPr>
          <w:noProof/>
        </w:rPr>
        <w:t xml:space="preserve">ς για βελτίωση της είσπραξης των φόρων είναι σε εξέλιξη. Παρά τις βελτιώσεις, η φορολογική συμμόρφωση εξακολουθεί να αποτελεί πρόκληση. Η παραοικονομία και η αδήλωτη εργασία εξακολουθούν να είναι υψηλές. Η διοικητική επιβάρυνση φορολογικού χαρακτήρα είναι </w:t>
      </w:r>
      <w:r>
        <w:rPr>
          <w:noProof/>
        </w:rPr>
        <w:t>σημαντική. Τα μέτρα για τον περιορισμό της γραφειοκρατίας φαίνεται να έχουν αποφέρει μέχρι τώρα περιορισμένα αποτελέσματα και δεν υπάρχουν ενδείξεις για σημαντικές βελτιώσεις όσον αφορά την οικειοθελή φορολογική συμμόρφωση. Υπό αυτές τις συνθήκες, η επιβολ</w:t>
      </w:r>
      <w:r>
        <w:rPr>
          <w:noProof/>
        </w:rPr>
        <w:t>ή των κανόνων φαίνεται να είναι ζωτικής σημασίας, όχι μόνο για να εφαρμόζονται οι έλεγχοι αλλά και για να ενισχύεται η πρόληψη της μη τήρησης των φορολογικών υποχρεώσεων. Το σχέδιο δράσης για την ενιαία εθνική στρατηγική 2015-2017, που έχει στόχο να βελτιω</w:t>
      </w:r>
      <w:r>
        <w:rPr>
          <w:noProof/>
        </w:rPr>
        <w:t>θεί η είσπραξη των φόρων, να αντιμετωπιστεί η παραοικονομία και να μειωθεί το κόστος συμμόρφωσης, φαίνεται να είναι χρήσιμο εργαλείο, ιδίως για την αξιολόγηση και τη βελτίωση του συντονισμού και της αποτελεσματικότητας των διαφόρων διοικητικών φορέων που ε</w:t>
      </w:r>
      <w:r>
        <w:rPr>
          <w:noProof/>
        </w:rPr>
        <w:t>ργάζονται στον τομέα της φορολογίας. Μια εκ των υστέρων ανάλυση των επιπτώσεων των συγκεκριμένων μέτρων θα μπορούσε να συμβάλει στην ορθή αξιολόγηση, σχεδίαση και στοχοθέτηση των μελλοντικών μέτρων φορολογικής συμμόρφωσης. Τα εν λόγω μέτρα θα αντικαταστήσο</w:t>
      </w:r>
      <w:r>
        <w:rPr>
          <w:noProof/>
        </w:rPr>
        <w:t xml:space="preserve">υν την τρέχουσα στρατηγική, η οποία λήγει στο τέλος του 2017.  </w:t>
      </w:r>
    </w:p>
    <w:p w:rsidR="00FA46A4" w:rsidRDefault="00C67E2E">
      <w:pPr>
        <w:pStyle w:val="Point0number"/>
        <w:rPr>
          <w:i/>
          <w:noProof/>
        </w:rPr>
      </w:pPr>
      <w:r>
        <w:rPr>
          <w:noProof/>
        </w:rPr>
        <w:t>Οι αρχές, σε διαβούλευση και συνεργασία με τους αρμόδιους ευρωπαϊκούς οργανισμούς, διενήργησαν ελέγχους ποιότητας των στοιχείων ενεργητικού και προσομοιώσεις ακραίων καταστάσεων του τραπεζικού</w:t>
      </w:r>
      <w:r>
        <w:rPr>
          <w:noProof/>
        </w:rPr>
        <w:t xml:space="preserve"> και ασφαλιστικού τομέα, καθώς και επανεξέταση των στοιχείων ενεργητικού των ιδιωτικών συνταξιοδοτικών ταμείων. Ενώ τα αποτελέσματα επιβεβαίωσαν τη συνολική ευρωστία των εν λόγω τομέων, επιβεβαιώθηκε η ύπαρξη τρωτών σημείων, μεταξύ άλλων και σε ορισμένα συ</w:t>
      </w:r>
      <w:r>
        <w:rPr>
          <w:noProof/>
        </w:rPr>
        <w:t>στημικά ιδρύματα. Δεδομένου ότι τα επακόλουθα μέτρα δεν έχουν ακόμη τεθεί πλήρως σε εφαρμογή, η πηγή της τρωτότητας παραμένει. Επιπλέον, ορισμένα θέματα, συμπεριλαμβανομένης της αποτίμησης των μη ευχερώς ρευστοποιήσιμων χρηματοπιστωτικών μέσων και περιουσι</w:t>
      </w:r>
      <w:r>
        <w:rPr>
          <w:noProof/>
        </w:rPr>
        <w:t>ακών στοιχείων, καθώς και των ανοιγμάτων με συνδεόμενα μέρη, δεν είχαν αντιμετωπιστεί πλήρως από τους τρεις ελέγχους. Οι εποπτικές αρχές θα μπορούσαν να ακολουθήσουν μια πιο συντηρητική προσέγγιση για την αντιμετώπιση αυτών των θεμάτων. Τα εκκρεμή ζητήματα</w:t>
      </w:r>
      <w:r>
        <w:rPr>
          <w:noProof/>
        </w:rPr>
        <w:t xml:space="preserve"> στον τομέα των ασφαλίσεων περιλαμβάνουν επίσης τη μεταχείριση ορισμένων αντασφαλιστικών συμβάσεων, ορισμένες ασφαλιστικές εισπρακτέες απαιτήσεις και την εποπτεία σε επίπεδο ομίλου.</w:t>
      </w:r>
    </w:p>
    <w:p w:rsidR="00FA46A4" w:rsidRDefault="00C67E2E">
      <w:pPr>
        <w:pStyle w:val="Point0number"/>
        <w:rPr>
          <w:i/>
          <w:noProof/>
        </w:rPr>
      </w:pPr>
      <w:r>
        <w:rPr>
          <w:noProof/>
        </w:rPr>
        <w:t>Για να αντιμετωπίσει το ενδεχόμενο επανεμφάνισης παρόμοιων ανισορροπιών στ</w:t>
      </w:r>
      <w:r>
        <w:rPr>
          <w:noProof/>
        </w:rPr>
        <w:t xml:space="preserve">ο μέλλον, τα μέτρα για τη βελτίωση της εποπτείας των τραπεζών θα πρέπει να οριστικοποιηθούν, ενώ απαιτούνται περαιτέρω προσπάθειες για τη βελτίωση της εποπτείας του μη τραπεζικού τομέα. Η αντιμετώπιση των περιουσιακών στοιχείων που αποτιμώνται δύσκολα και </w:t>
      </w:r>
      <w:r>
        <w:rPr>
          <w:noProof/>
        </w:rPr>
        <w:t>των επισφαλών επιχειρηματικών πρακτικών, συμπεριλαμβανομένης της δανειοδότησης συνδεδεμένων μερών, παραμένει μία από τις βασικές προκλήσεις για τις αρχές. Η Εθνική Τράπεζα της Βουλγαρίας έχει δρομολογήσει ένα σχέδιο για την αναδιάρθρωση και την ανάπτυξη τη</w:t>
      </w:r>
      <w:r>
        <w:rPr>
          <w:noProof/>
        </w:rPr>
        <w:t>ς τραπεζικής εποπτείας, με βάση, μεταξύ άλλων, τα πορίσματα της Παγκόσμιας Τράπεζας και του ΔΝΤ. Το σχέδιο αυτό έχει πλέον τεθεί σε εφαρμογή, αλλά ενδέχεται να χρειαστεί να τροποποιηθεί με βάση τα πορίσματα του Προγράμματος Αξιολόγησης του Χρηματοπιστωτικο</w:t>
      </w:r>
      <w:r>
        <w:rPr>
          <w:noProof/>
        </w:rPr>
        <w:t xml:space="preserve">ύ Τομέα. Οι αδυναμίες στην εποπτεία που στοιχειοθετήθηκαν βάσει του ελέγχου του ασφαλιστικού τομέα και της επανεξέτασης των συνταξιοδοτικών ταμείων καθιστούν εμφανές ότι είναι ανάγκη η Επιτροπή Χρηματοπιστωτικής Εποπτείας να αναπτύξει και να εφαρμόσει ένα </w:t>
      </w:r>
      <w:r>
        <w:rPr>
          <w:noProof/>
        </w:rPr>
        <w:t>ολοκληρωμένο σχέδιο ενίσχυσης της εποπτείας, μεταξύ άλλων μέσω της βελτίωσης της εσωτερικής της διακυβέρνησης και λειτουργίας. Για να εξασφαλιστεί η πλήρης αξιοπιστία, ένα τέτοιο σχέδιο θα πρέπει να στηρίζεται στις διεθνείς βέλτιστες πρακτικές στον εν λόγω</w:t>
      </w:r>
      <w:r>
        <w:rPr>
          <w:noProof/>
        </w:rPr>
        <w:t xml:space="preserve"> τομέα και να εκπονηθεί και να υλοποιηθεί σε στενή συνεργασία με τους ευρωπαϊκούς φορείς, ενσωματώνοντας εισροές από τρίτους παρόχους υπηρεσιών ανάλογα με τις ανάγκες.  </w:t>
      </w:r>
    </w:p>
    <w:p w:rsidR="00FA46A4" w:rsidRDefault="00C67E2E">
      <w:pPr>
        <w:pStyle w:val="Point0number"/>
        <w:rPr>
          <w:i/>
          <w:noProof/>
        </w:rPr>
      </w:pPr>
      <w:r>
        <w:rPr>
          <w:noProof/>
        </w:rPr>
        <w:t>Το εταιρικό χρέος παραμένει υψηλό (πολύ υψηλότερο από εκείνο των ομολόγων χωρών), επιβ</w:t>
      </w:r>
      <w:r>
        <w:rPr>
          <w:noProof/>
        </w:rPr>
        <w:t>αρύνοντας τους ισολογισμούς των επιχειρήσεων και περιορίζοντας δυνητικά την πιστωτική ζήτηση και τις επενδύσεις σε μεσοπρόθεσμη βάση. Για να μειωθεί το επίπεδο των μη εξυπηρετούμενων εταιρικών δανείων, το οποίο παραμένει υψηλό, οι αρχές θα πρέπει να διευκο</w:t>
      </w:r>
      <w:r>
        <w:rPr>
          <w:noProof/>
        </w:rPr>
        <w:t>λύνουν τη διαδικασία αναδιάρθρωσης των δανείων των τραπεζών με βάση ένα ολοκληρωμένο σύνολο εργαλείων. Για παράδειγμα, η επιτάχυνση της μεταρρύθμισης του πλαισίου αφερεγγυότητας θα βελτιώσει το νομικό περιβάλλον για την αντιμετώπιση επισφαλών δανείων και τ</w:t>
      </w:r>
      <w:r>
        <w:rPr>
          <w:noProof/>
        </w:rPr>
        <w:t>ην παροχή ευκαιριών εξωδικαστικής αναδιάρθρωσης. Πέραν του πλαισίου αφερεγγυότητας, η εργαλειοθήκη θα μπορούσε να περιλαμβάνει εποπτική καθοδήγηση προς τράπεζες με ιδιαίτερα υψηλά επίπεδα μη εξυπηρετούμενων δανείων. Τούτο θα καθιστούσε πιο διαφανή τα δεδομ</w:t>
      </w:r>
      <w:r>
        <w:rPr>
          <w:noProof/>
        </w:rPr>
        <w:t xml:space="preserve">ένα σχετικά με την ποιότητα των περιουσιακών στοιχείων και θα συνέβαλε στην εμβάθυνση της δευτερογενούς αγοράς για μη εξυπηρετούμενα δάνεια.  </w:t>
      </w:r>
    </w:p>
    <w:p w:rsidR="00FA46A4" w:rsidRDefault="00C67E2E">
      <w:pPr>
        <w:pStyle w:val="Point0number"/>
        <w:rPr>
          <w:bCs/>
          <w:noProof/>
        </w:rPr>
      </w:pPr>
      <w:r>
        <w:rPr>
          <w:noProof/>
        </w:rPr>
        <w:t>Οι πρόσφατες εξελίξεις στην αγορά εργασίας ήταν θετικές, αλλά εξακολουθούν να υπάρχουν διαρθρωτικά προβλήματα. Το</w:t>
      </w:r>
      <w:r>
        <w:rPr>
          <w:noProof/>
        </w:rPr>
        <w:t xml:space="preserve"> εργατικό δυναμικό συνεχίζει να συρρικνώνεται λόγω της γήρανσης του πληθυσμού, σε συνδυασμό με τη μετανάστευση. Καθώς η οικονομία είναι σε διαδικασία διαρθρωτικών αλλαγών, είναι ουσιώδες να αξιοποιηθεί καλύτερα το αχρησιμοποίητο εργατικό δυναμικό. Επί του </w:t>
      </w:r>
      <w:r>
        <w:rPr>
          <w:noProof/>
        </w:rPr>
        <w:t>παρόντος, η αγορά εργασίας χαρακτηρίζεται από υψηλή μακροχρόνια ανεργία και αεργία, περιορισμένη ενσωμάτωση των νέων στην αγορά εργασίας, καθώς και ελλείψεις και αναντιστοιχίες δεξιοτήτων. Ενώ το ποσοστό ανεργίας μειώθηκε κάτω από τον μέσο όρο της Ένωσης τ</w:t>
      </w:r>
      <w:r>
        <w:rPr>
          <w:noProof/>
        </w:rPr>
        <w:t>ο 2016, το ποσοστό της μακροχρόνιας ανεργίας και το ποσοστό των νέων που βρίσκονται εκτός απασχόλησης, εκπαίδευσης ή κατάρτισης, καθώς και το χαμηλό ποσοστό απασχόλησης των ατόμων με χαμηλό επίπεδο εκπαίδευσης εξακολουθούν να αποτελούν σημαντικές προκλήσει</w:t>
      </w:r>
      <w:r>
        <w:rPr>
          <w:noProof/>
        </w:rPr>
        <w:t>ς. Απέναντι σε αυτές τις προκλήσεις, οι ενεργητικές πολιτικές για την αγορά εργασίας δεν είναι επαρκώς προσανατολισμένες προς τις μειονεκτούσες ομάδες και τις ανάγκες τους, γεγονός το οποίο εμποδίζει την απασχολησιμότητά τους. Επιπλέον, η ανεπαρκής ενοποίη</w:t>
      </w:r>
      <w:r>
        <w:rPr>
          <w:noProof/>
        </w:rPr>
        <w:t>ση των υπηρεσιών απασχόλησης και των κοινωνικών υπηρεσιών για τους δικαιούχους κοινωνικών παροχών, μπορεί να περιορίσει τη συμμετοχή τους στην αγορά εργασίας.</w:t>
      </w:r>
    </w:p>
    <w:p w:rsidR="00FA46A4" w:rsidRDefault="00C67E2E">
      <w:pPr>
        <w:pStyle w:val="Point0number"/>
        <w:rPr>
          <w:noProof/>
        </w:rPr>
      </w:pPr>
      <w:r>
        <w:rPr>
          <w:noProof/>
        </w:rPr>
        <w:t xml:space="preserve">Η βελτίωση των εκπαιδευτικών αποτελεσμάτων και η ενίσχυση της παροχής υψηλής ποιότητας κανονικής </w:t>
      </w:r>
      <w:r>
        <w:rPr>
          <w:noProof/>
        </w:rPr>
        <w:t xml:space="preserve">εκπαίδευσης, χωρίς αποκλεισμούς, εξακολουθεί να αποτελεί πρόκληση, με πιθανές συνέπειες για τη φτώχεια. Ενώ ο κίνδυνος φτώχειας ή κοινωνικού αποκλεισμού για τα παιδιά έχει μειωθεί ελαφρώς, παραμένει ένας από τους υψηλότερους στην ΕΕ και συνδέεται στενά με </w:t>
      </w:r>
      <w:r>
        <w:rPr>
          <w:noProof/>
        </w:rPr>
        <w:t>το επίπεδο εκπαίδευσης των γονέων. Οι επιδόσεις στις βασικές δεξιότητες, όπως μετρώνται από το PISA 2015, δείχνουν ότι το ποσοστό μαθητών με μειωμένες επιδόσεις στην ανάγνωση, τα μαθηματικά και τις φυσικές επιστήμες εξακολουθεί να είναι ένα από τα υψηλότερ</w:t>
      </w:r>
      <w:r>
        <w:rPr>
          <w:noProof/>
        </w:rPr>
        <w:t>α στην ΕΕ. Η προβλεπόμενη μεθοδολογία για τη βελτίωση της σχολικής χρηματοδότησης δεν έχει ακόμη αναπτυχθεί. Η εν λόγω μεθοδολογία στοχεύει σε δικαιότερα αποτελέσματα, μέσω πρόσθετης στήριξης σχολείων με χαμηλές επιδόσεις. Τα παιδιά που προέρχονται από οικ</w:t>
      </w:r>
      <w:r>
        <w:rPr>
          <w:noProof/>
        </w:rPr>
        <w:t xml:space="preserve">ογένειες με χαμηλότερη κοινωνικοοικονομική κατάσταση, ιδίως οικογένειες Ρομά, δεν έχουν ίσες ευκαιρίες εκπαίδευσης, συμπεριλαμβανομένης της προσχολικής εκπαίδευσης. Η επαγγελματική εκπαίδευση και κατάρτιση είναι υπό μεταρρύθμιση, αλλά η ποιότητά της και η </w:t>
      </w:r>
      <w:r>
        <w:rPr>
          <w:noProof/>
        </w:rPr>
        <w:t>συνεργασία με τις επιχειρήσεις και τους κοινωνικούς εταίρους είναι ανεπαρκής. Το διττό σύστημα εκπαίδευσης εξακολουθεί να τίθεται σε εφαρμογή. Η χρηματοδότηση βάσει επιδόσεων στην τριτοβάθμια εκπαίδευση επιδιώκει να βελτιώσει την ποιότητα και τη σχέση με τ</w:t>
      </w:r>
      <w:r>
        <w:rPr>
          <w:noProof/>
        </w:rPr>
        <w:t>ην αγορά εργασίας.</w:t>
      </w:r>
    </w:p>
    <w:p w:rsidR="00FA46A4" w:rsidRDefault="00C67E2E">
      <w:pPr>
        <w:pStyle w:val="Point0number"/>
        <w:rPr>
          <w:noProof/>
        </w:rPr>
      </w:pPr>
      <w:r>
        <w:rPr>
          <w:noProof/>
        </w:rPr>
        <w:t>Η περιορισμένη προσβασιμότητα, η χαμηλή χρηματοδότηση, η μετανάστευση των επαγγελματιών και τα πενιχρά αποτελέσματα στον τομέα της υγείας εξακολουθούν να συνιστούν βασικές προκλήσεις για το σύστημα υγείας. Η χαμηλή κάλυψη ασφάλισης ασθέν</w:t>
      </w:r>
      <w:r>
        <w:rPr>
          <w:noProof/>
        </w:rPr>
        <w:t>ειας, συμπεριλαμβανομένης της χαμηλής δημόσιας κάλυψης των ιατρικών υπηρεσιών σε εξωτερικά ιατρεία και των υψηλών άμεσων πληρωμών από τους ασθενείς, καθιστούν δύσκολη για ορισμένους την πρόσβαση στην ιατροφαρμακευτική περίθαλψη. Τα πρόσφατα μέτρα, όπως η σ</w:t>
      </w:r>
      <w:r>
        <w:rPr>
          <w:noProof/>
        </w:rPr>
        <w:t>ύναψη επιλεκτικών συμβάσεων νοσοκομειακών υπηρεσιών με βάση τον Εθνικό Χάρτη Υγείας, έχουν τη δυνατότητα, εάν εφαρμοστούν πλήρως. να βελτιώσουν την ισότιμη πρόσβαση στην ιατροφαρμακευτική περίθαλψη.</w:t>
      </w:r>
    </w:p>
    <w:p w:rsidR="00FA46A4" w:rsidRDefault="00C67E2E">
      <w:pPr>
        <w:pStyle w:val="Point0number"/>
        <w:rPr>
          <w:noProof/>
        </w:rPr>
      </w:pPr>
      <w:r>
        <w:rPr>
          <w:noProof/>
        </w:rPr>
        <w:t>Ο κατώτατος μισθός στη Βουλγαρία, παρότι παραμένει ο χαμη</w:t>
      </w:r>
      <w:r>
        <w:rPr>
          <w:noProof/>
        </w:rPr>
        <w:t>λότερος στην ΕΕ, έχει αυξηθεί σημαντικά από το 2011. Έχει επιτευχθεί περιορισμένη πρόοδος όσον αφορά τη δημιουργία ενός αντικειμενικού μηχανισμού, παρά το ότι οι εργοδότες και τα συνδικάτα συμφωνούν για τα κριτήρια. Η απουσία διαφανούς μηχανισμού, που να λ</w:t>
      </w:r>
      <w:r>
        <w:rPr>
          <w:noProof/>
        </w:rPr>
        <w:t>αμβάνει υπόψη τα οικονομικά και κοινωνικά κριτήρια, τις συνθήκες της αγοράς εργασίας και τη θεσμική πτυχή της εφαρμογής τους, ενδέχεται να θέτουν σε κίνδυνο τη σωστή ισορροπία μεταξύ των στόχων στήριξης της απασχόλησης και της ανταγωνιστικότητας, αφενός, κ</w:t>
      </w:r>
      <w:r>
        <w:rPr>
          <w:noProof/>
        </w:rPr>
        <w:t>αι διασφάλισης του εργατικού εισοδήματος, αφετέρου. Παρά ορισμένες εντάσεις μεταξύ των κοινωνικών εταίρων κατά τις αποτυχημένες διαπραγματεύσεις για τα ελάχιστα όρια κοινωνικής ασφάλισης για το 2017, ο κοινωνικός διάλογος στη χώρα παραμένει σε ισχύ.</w:t>
      </w:r>
    </w:p>
    <w:p w:rsidR="00FA46A4" w:rsidRDefault="00C67E2E">
      <w:pPr>
        <w:pStyle w:val="Point0number"/>
        <w:rPr>
          <w:noProof/>
        </w:rPr>
      </w:pPr>
      <w:r>
        <w:rPr>
          <w:noProof/>
        </w:rPr>
        <w:t>Το υψη</w:t>
      </w:r>
      <w:r>
        <w:rPr>
          <w:noProof/>
        </w:rPr>
        <w:t>λό ποσοστό ατόμων που διατρέχουν κίνδυνο φτώχειας ή κοινωνικού αποκλεισμού εξακολουθεί να αποτελεί μεγάλη οικονομική και κοινωνική πρόκληση. Η Βουλγαρία εξακολουθεί να είναι το φτωχότερο κράτος μέλος της ΕΕ, ενώ πληθυσμιακές ομάδες που βρίσκονται σε μειονε</w:t>
      </w:r>
      <w:r>
        <w:rPr>
          <w:noProof/>
        </w:rPr>
        <w:t>κτική θέση, όπως οι Ρομά, τα παιδιά, οι ηλικιωμένοι και τα άτομα που ζουν σε αγροτικές περιοχές, πλήττονται δυσανάλογα. Μετά από πολλά χρόνια σημαντικής βελτίωσης, το ποσοστό κινδύνου φτώχειας για τους ηλικιωμένους επιδεινώθηκε σημαντικά. Οι ηλικιωμένες γυ</w:t>
      </w:r>
      <w:r>
        <w:rPr>
          <w:noProof/>
        </w:rPr>
        <w:t>ναίκες διατρέχουν ιδιαίτερα υψηλό κίνδυνο φτώχειας ή κοινωνικού αποκλεισμού, δεδομένων των, κατά κανόνα, βραχύτερων περιόδων καταβολής συνταξιοδοτικών εισφορών. Ενώ η κατάσταση της σχετικής φτώχειας των παιδιών έχει βελτιωθεί, τα επίπεδα φτώχειας εντός της</w:t>
      </w:r>
      <w:r>
        <w:rPr>
          <w:noProof/>
        </w:rPr>
        <w:t xml:space="preserve"> ομάδας αυτής εξακολουθούν να είναι πολύ υψηλά. Η αποϊδρυματοποίηση των παιδιών διατηρεί τη δυναμική της με την έγκριση του νέου σχεδίου δράσης. Ωστόσο, η διαδικασία όσον αφορά τους ενηλίκους και τα άτομα με αναπηρίες εξακολουθεί να υπολείπεται των προσδοκ</w:t>
      </w:r>
      <w:r>
        <w:rPr>
          <w:noProof/>
        </w:rPr>
        <w:t>ιών. Η εισοδηματική ανισότητα αποτελεί σημαντικό και διογκούμενο πρόβλημα. Η αναλογία του εισοδήματος του πλουσιότερου 20% των νοικοκυριών προς το εισόδημα του φτωχότερου 20% αυξήθηκε από 6,1 το 2012 σε 7,1 το 2015 και είναι από τις υψηλότερες στην ΕΕ. Στη</w:t>
      </w:r>
      <w:r>
        <w:rPr>
          <w:noProof/>
        </w:rPr>
        <w:t xml:space="preserve"> Βουλγαρία, η διαφορά της εισοδηματικής ανισότητας πριν και μετά τους φόρους και τις κοινωνικές μεταβιβάσεις είναι μεταξύ των μικρότερων στην ΕΕ. Το σύστημα κοινωνικής προστασίας, συμπεριλαμβανομένου του γενικού συστήματος ελάχιστου εισοδήματος (που συνίστ</w:t>
      </w:r>
      <w:r>
        <w:rPr>
          <w:noProof/>
        </w:rPr>
        <w:t>αται σε μηνιαίες παροχές κοινωνικής πρόνοιας και επίδομα θέρμανσης), δεν παρέχει επαρκή στήριξη. Η κάλυψη των ατόμων που λαμβάνουν κοινωνικές παροχές παραμένει χαμηλή, με πολύ περιοριστικές προϋποθέσεις εισόδου. Το επίπεδο του ελάχιστου εισοδήματος παραμέν</w:t>
      </w:r>
      <w:r>
        <w:rPr>
          <w:noProof/>
        </w:rPr>
        <w:t>ει χαμηλό. Δεν έχει αναπροσαρμοστεί από το 2009 και δεν έχει διαφανή μηχανισμό προσαρμογής.</w:t>
      </w:r>
    </w:p>
    <w:p w:rsidR="00FA46A4" w:rsidRDefault="00C67E2E">
      <w:pPr>
        <w:pStyle w:val="Point0number"/>
        <w:rPr>
          <w:noProof/>
        </w:rPr>
      </w:pPr>
      <w:r>
        <w:rPr>
          <w:noProof/>
        </w:rPr>
        <w:t>Τα μέτρα για τη βελτίωση του συστήματος δημοσίων προμηθειών έχουν ληφθεί, αλλά δεν έχει διαπιστωθεί ακόμη η συγκεκριμένη προστιθέμενη αξία τους. Πρέπει να διασφαλισ</w:t>
      </w:r>
      <w:r>
        <w:rPr>
          <w:noProof/>
        </w:rPr>
        <w:t>τεί η κατάλληλη και αποτελεσματική εφαρμογή του νέου συστήματος εκ των προτέρων ελέγχων βάσει κινδύνου. Η εφαρμογή των συστάσεων που περιέχει η επανεξέταση του συστήματος προσφυγών εξακολουθεί να αποτελεί πρόκληση, δεδομένου ότι οι αποτελεσματικές διαδικασ</w:t>
      </w:r>
      <w:r>
        <w:rPr>
          <w:noProof/>
        </w:rPr>
        <w:t>ίες προσφυγής είναι το κλειδί για την υλοποίηση σημαντικών έργων. Μετά την αξιολόγησή της, η διοικητική ικανότητα της Υπηρεσίας Δημοσίων Προμηθειών θα πρέπει να προσαρμοστεί ώστε να αποτυπώνει τις λειτουργίες της εν λόγω Υπηρεσίας. Επιπλέον, η διοικητική ι</w:t>
      </w:r>
      <w:r>
        <w:rPr>
          <w:noProof/>
        </w:rPr>
        <w:t xml:space="preserve">κανότητα των αναθετουσών αρχών θα πρέπει να ενισχυθεί, μεταξύ άλλων και μέσω της υποστήριξης που παρέχεται από την Υπηρεσία Δημοσίων Προμηθειών και τις Κεντρικές Αρχές Αγορών για την κεντρική διοίκηση, τους δήμους και τον τομέα της υγείας. Οι εργασίες για </w:t>
      </w:r>
      <w:r>
        <w:rPr>
          <w:noProof/>
        </w:rPr>
        <w:t>την εφαρμογή των ηλεκτρονικών δημόσιων προμηθειών, προκειμένου να ενισχυθεί η διαφάνεια των δημοσίων προμηθειών, πρέπει να ολοκληρωθούν. Η διασφάλιση της αμεροληψίας των δημόσιων διαγωνισμών και η πρόληψη τυχόν συγκρούσεων συμφερόντων εξακολουθούν να αποτε</w:t>
      </w:r>
      <w:r>
        <w:rPr>
          <w:noProof/>
        </w:rPr>
        <w:t>λούν πηγή σημαντικών ανησυχιών. Παρά τις πρόσφατες μεταρρυθμίσεις που αποσκοπούν στον εκσυγχρονισμό της δημόσιας διοίκησης, η αποτελεσματικότητα και η αποδοτικότητα των δημοσίων οργανισμών παραμένει περιορισμένη. Το 2016 οριστικοποιήθηκαν μεν ορισμένες νομ</w:t>
      </w:r>
      <w:r>
        <w:rPr>
          <w:noProof/>
        </w:rPr>
        <w:t>ικές τροποποιήσεις ώστε να δημιουργηθεί το κατάλληλο νομικό πλαίσιο, αλλά η εφαρμογή και υλοποίησή τους με αποτελεσματικό και συστηματικό τρόπο αποτελεί πρόκληση.</w:t>
      </w:r>
    </w:p>
    <w:p w:rsidR="00FA46A4" w:rsidRDefault="00C67E2E">
      <w:pPr>
        <w:pStyle w:val="Point0number"/>
        <w:rPr>
          <w:noProof/>
        </w:rPr>
      </w:pPr>
      <w:r>
        <w:rPr>
          <w:noProof/>
        </w:rPr>
        <w:t>Το 2016, η Βουλγαρία ενέκρινε σημαντικές μεταρρυθμίσεις, ώστε να αντιμετωπιστούν οι συνεχιζόμ</w:t>
      </w:r>
      <w:r>
        <w:rPr>
          <w:noProof/>
        </w:rPr>
        <w:t>ενες ανησυχίες σχετικά με την ανεξαρτησία και την ποιότητα του συστήματος απονομής δικαιοσύνης. Ωστόσο, δεδομένου ότι οι εν λόγω μεταρρυθμίσεις εγκρίθηκαν μόλις πρόσφατα, είναι πολύ νωρίς για να αξιολογηθεί ο αντίκτυπός τους. Απαιτούνται περαιτέρω μέτρα σε</w:t>
      </w:r>
      <w:r>
        <w:rPr>
          <w:noProof/>
        </w:rPr>
        <w:t xml:space="preserve"> διάφορους τομείς. Η διαφθορά επίσης εξακολουθεί να αποτελεί σοβαρή πρόκληση για τη Βουλγαρία και συνεχίζει να επηρεάζει αρνητικά τις επενδύσεις, τόσο σε τοπικό όσο και σε εθνικό επίπεδο. Το 2015 οι αρχές παρουσίασαν μια φιλόδοξη στρατηγική για την καταπολ</w:t>
      </w:r>
      <w:r>
        <w:rPr>
          <w:noProof/>
        </w:rPr>
        <w:t xml:space="preserve">έμηση της διαφθοράς, αλλά η εφαρμογή της βρίσκεται ακόμη σε πρώιμο στάδιο. </w:t>
      </w:r>
      <w:r>
        <w:rPr>
          <w:noProof/>
          <w:color w:val="000000"/>
        </w:rPr>
        <w:t>Η βουλγαρική πολιτική για την καταπολέμηση της διαφθοράς εξακολουθεί να προσκρούει στην αδυναμία και στον κατακερματισμό των θεσμικών οργάνων, στα πενιχρά αποτελέσματα όσον αφορά τη</w:t>
      </w:r>
      <w:r>
        <w:rPr>
          <w:noProof/>
          <w:color w:val="000000"/>
        </w:rPr>
        <w:t xml:space="preserve">ν άσκηση διώξεων σε υποθέσεις διαφθοράς υψηλού επιπέδου και στην ισχνή κοινοβουλευτική στήριξη των μεταρρυθμίσεων. </w:t>
      </w:r>
      <w:r>
        <w:rPr>
          <w:noProof/>
        </w:rPr>
        <w:t>Στο πλαίσιο του μηχανισμού συνεργασίας και ελέγχου, η Βουλγαρία λαμβάνει συστάσεις για τη δικαστική μεταρρύθμιση και την καταπολέμηση της δια</w:t>
      </w:r>
      <w:r>
        <w:rPr>
          <w:noProof/>
        </w:rPr>
        <w:t>φθοράς και του οργανωμένου εγκλήματος. Οι τομείς αυτοί δεν καλύπτονται, επομένως, από τις ειδικές ανά χώρα συστάσεις για τη Βουλγαρία.</w:t>
      </w:r>
    </w:p>
    <w:p w:rsidR="00FA46A4" w:rsidRDefault="00C67E2E">
      <w:pPr>
        <w:pStyle w:val="Point0number"/>
        <w:rPr>
          <w:noProof/>
        </w:rPr>
      </w:pPr>
      <w:r>
        <w:rPr>
          <w:noProof/>
        </w:rPr>
        <w:t>Στο πλαίσιο του Ευρωπαϊκού Εξαμήνου, η Επιτροπή διενήργησε διεξοδική ανάλυση της οικονομικής πολιτικής της Βουλγαρίας και</w:t>
      </w:r>
      <w:r>
        <w:rPr>
          <w:noProof/>
        </w:rPr>
        <w:t xml:space="preserve"> τη δημοσίευσε στην έκθεση του 2017 για τη χώρα. Αξιολόγησε επίσης τη συνέχεια που δόθηκε στις συστάσεις που είχαν απευθυνθεί στη Βουλγαρία κατά τα προηγούμενα έτη. </w:t>
      </w:r>
    </w:p>
    <w:p w:rsidR="00FA46A4" w:rsidRDefault="00C67E2E">
      <w:pPr>
        <w:pStyle w:val="Point0number"/>
        <w:rPr>
          <w:noProof/>
        </w:rPr>
      </w:pPr>
      <w:r>
        <w:rPr>
          <w:noProof/>
        </w:rPr>
        <w:t>Υπό το πρίσμα της αξιολόγησης αυτής, το Συμβούλιο είναι της γνώμης ότι η Βουλγαρία αναμένε</w:t>
      </w:r>
      <w:r>
        <w:rPr>
          <w:noProof/>
        </w:rPr>
        <w:t>ται να συμμορφωθεί με το Σύμφωνο Σταθερότητας και Ανάπτυξης.</w:t>
      </w:r>
    </w:p>
    <w:p w:rsidR="00FA46A4" w:rsidRDefault="00C67E2E">
      <w:pPr>
        <w:pStyle w:val="Point0number"/>
        <w:rPr>
          <w:noProof/>
        </w:rPr>
      </w:pPr>
      <w:r>
        <w:rPr>
          <w:noProof/>
        </w:rPr>
        <w:t>Υπό το πρίσμα της εμπεριστατωμένης επισκόπησης της Επιτροπής και της αξιολόγησης αυτής, οι συστάσεις του Συμβουλίου που γίνονται σύμφωνα με το άρθρο 6 του κανονισμού (ΕΕ) αριθ. 1176/2011 αποτυπών</w:t>
      </w:r>
      <w:r>
        <w:rPr>
          <w:noProof/>
        </w:rPr>
        <w:t>ονται στις συστάσεις 2 και 3 κατωτέρω,</w:t>
      </w:r>
    </w:p>
    <w:p w:rsidR="00FA46A4" w:rsidRDefault="00C67E2E">
      <w:pPr>
        <w:pStyle w:val="Formuledadoption"/>
        <w:rPr>
          <w:noProof/>
        </w:rPr>
      </w:pPr>
      <w:r>
        <w:rPr>
          <w:noProof/>
        </w:rPr>
        <w:t>ΣΥΝΙΣΤΑ στη Βουλγαρία να λάβει μέτρα το 2017 και το 2018 προκειμένου:</w:t>
      </w:r>
    </w:p>
    <w:p w:rsidR="00FA46A4" w:rsidRDefault="00C67E2E">
      <w:pPr>
        <w:pStyle w:val="ManualNumPar1"/>
        <w:rPr>
          <w:noProof/>
        </w:rPr>
      </w:pPr>
      <w:bookmarkStart w:id="1" w:name="_CopyToNewDocument_"/>
      <w:bookmarkEnd w:id="1"/>
      <w:r>
        <w:rPr>
          <w:noProof/>
        </w:rPr>
        <w:t>1.</w:t>
      </w:r>
      <w:r>
        <w:rPr>
          <w:noProof/>
        </w:rPr>
        <w:tab/>
      </w:r>
      <w:r>
        <w:rPr>
          <w:noProof/>
          <w:color w:val="000000"/>
        </w:rPr>
        <w:t xml:space="preserve">Να βελτιώσει περαιτέρω την είσπραξη των φόρων και τη φορολογική συμμόρφωση, μεταξύ άλλων μέσω ενός ολοκληρωμένου συνόλου μέτρων πέραν του 2017. </w:t>
      </w:r>
      <w:r>
        <w:rPr>
          <w:noProof/>
          <w:color w:val="000000"/>
        </w:rPr>
        <w:t>Να εφαρμόσει αυστηρότερα τα μέτρα που περιορίζουν την έκταση της παραοικονομίας, ιδίως της αδήλωτης εργασίας.</w:t>
      </w:r>
    </w:p>
    <w:p w:rsidR="00FA46A4" w:rsidRDefault="00C67E2E">
      <w:pPr>
        <w:pStyle w:val="ManualNumPar1"/>
        <w:rPr>
          <w:noProof/>
        </w:rPr>
      </w:pPr>
      <w:r>
        <w:rPr>
          <w:noProof/>
        </w:rPr>
        <w:t>2.</w:t>
      </w:r>
      <w:r>
        <w:rPr>
          <w:noProof/>
        </w:rPr>
        <w:tab/>
        <w:t>Να λάβει επακόλουθα μέτρα κατόπιν των επανεξετάσεων του χρηματοπιστωτικού τομέα, ιδίως όσον αφορά τις συμβάσεις αντασφάλισης, την εποπτεία σε ε</w:t>
      </w:r>
      <w:r>
        <w:rPr>
          <w:noProof/>
        </w:rPr>
        <w:t>πίπεδο ομίλου, τα περιουσιακά στοιχεία που αποτιμώνται δύσκολα και τα ανοίγματα με συνδεόμενα μέρη. Να βελτιώσει την τραπεζική και μη τραπεζική εποπτεία μέσω της εφαρμογής ολοκληρωμένων σχεδίων δράσης, σε στενή συνεργασία με ευρωπαϊκούς φορείς. Να διευκολύ</w:t>
      </w:r>
      <w:r>
        <w:rPr>
          <w:noProof/>
        </w:rPr>
        <w:t>νει τη μείωση των μη εξυπηρετούμενων εταιρικών δανείων, που παραμένουν σε υψηλό επίπεδο, με βάση ένα ολοκληρωμένο σύνολο εργαλείων, μεταξύ άλλων με την επίσπευση της μεταρρύθμισης του πλαισίου αφερεγγυότητας και την προώθηση μιας λειτουργικής δευτερογενούς</w:t>
      </w:r>
      <w:r>
        <w:rPr>
          <w:noProof/>
        </w:rPr>
        <w:t xml:space="preserve"> αγοράς για μη εξυπηρετούμενα δάνεια.  </w:t>
      </w:r>
    </w:p>
    <w:p w:rsidR="00FA46A4" w:rsidRDefault="00C67E2E">
      <w:pPr>
        <w:pStyle w:val="ManualNumPar1"/>
        <w:rPr>
          <w:noProof/>
        </w:rPr>
      </w:pPr>
      <w:r>
        <w:rPr>
          <w:noProof/>
        </w:rPr>
        <w:t>3.</w:t>
      </w:r>
      <w:r>
        <w:rPr>
          <w:noProof/>
        </w:rPr>
        <w:tab/>
        <w:t xml:space="preserve">Να βελτιώσει τη στοχοθέτηση των ενεργητικών πολιτικών για την αγορά εργασίας και την ενοποίηση  των υπηρεσιών απασχόλησης και των κοινωνικών υπηρεσιών για τις μειονεκτούσες ομάδες. Να αυξήσει την παροχή ποιοτικής </w:t>
      </w:r>
      <w:r>
        <w:rPr>
          <w:noProof/>
        </w:rPr>
        <w:t>κανονικής εκπαίδευσης, ιδίως για τους Ρομά. Να αυξήσει την κάλυψη της ασφάλισης υγείας, να μειώσει τις άμεσες πληρωμές από τους ασθενείς και να αντιμετωπίσει τις ελλείψεις σε επαγγελματίες του τομέα της υγείας. Να θεσπίσει, σε διαβούλευση με τους κοινωνικο</w:t>
      </w:r>
      <w:r>
        <w:rPr>
          <w:noProof/>
        </w:rPr>
        <w:t>ύς εταίρους, διαφανή μηχανισμό για τον καθορισμό του κατώτατου μισθού. Να βελτιώσει την κάλυψη και την επάρκεια του  ελάχιστου εισοδήματος.</w:t>
      </w:r>
    </w:p>
    <w:p w:rsidR="00FA46A4" w:rsidRDefault="00C67E2E">
      <w:pPr>
        <w:pStyle w:val="ManualNumPar1"/>
        <w:rPr>
          <w:noProof/>
        </w:rPr>
      </w:pPr>
      <w:r>
        <w:rPr>
          <w:noProof/>
        </w:rPr>
        <w:t>4.</w:t>
      </w:r>
      <w:r>
        <w:rPr>
          <w:noProof/>
        </w:rPr>
        <w:tab/>
        <w:t xml:space="preserve">Να εξασφαλίσει την αποτελεσματική υλοποίηση της Εθνικής Στρατηγικής Δημοσίων Προμηθειών 2014-2020. </w:t>
      </w:r>
    </w:p>
    <w:p w:rsidR="00FA46A4" w:rsidRDefault="00FA46A4">
      <w:pPr>
        <w:rPr>
          <w:noProof/>
        </w:rPr>
      </w:pPr>
    </w:p>
    <w:p w:rsidR="00FA46A4" w:rsidRDefault="00C67E2E" w:rsidP="00C67E2E">
      <w:pPr>
        <w:pStyle w:val="Fait"/>
        <w:rPr>
          <w:noProof/>
        </w:rPr>
      </w:pPr>
      <w:r w:rsidRPr="00C67E2E">
        <w:t>Βρυξέλλες,</w:t>
      </w:r>
    </w:p>
    <w:p w:rsidR="00FA46A4" w:rsidRDefault="00C67E2E">
      <w:pPr>
        <w:pStyle w:val="Institutionquisigne"/>
        <w:rPr>
          <w:noProof/>
        </w:rPr>
      </w:pPr>
      <w:r>
        <w:rPr>
          <w:noProof/>
        </w:rPr>
        <w:tab/>
      </w:r>
      <w:r>
        <w:rPr>
          <w:noProof/>
        </w:rPr>
        <w:t>Για το Συμβούλιο</w:t>
      </w:r>
    </w:p>
    <w:p w:rsidR="00FA46A4" w:rsidRDefault="00C67E2E">
      <w:pPr>
        <w:pStyle w:val="Personnequisigne"/>
        <w:rPr>
          <w:noProof/>
        </w:rPr>
      </w:pPr>
      <w:r>
        <w:rPr>
          <w:noProof/>
        </w:rPr>
        <w:tab/>
        <w:t>Ο Πρόεδρος</w:t>
      </w:r>
    </w:p>
    <w:sectPr w:rsidR="00FA46A4" w:rsidSect="00C67E2E">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A4" w:rsidRDefault="00C67E2E">
      <w:pPr>
        <w:spacing w:before="0" w:after="0"/>
      </w:pPr>
      <w:r>
        <w:separator/>
      </w:r>
    </w:p>
  </w:endnote>
  <w:endnote w:type="continuationSeparator" w:id="0">
    <w:p w:rsidR="00FA46A4" w:rsidRDefault="00C67E2E">
      <w:pPr>
        <w:spacing w:before="0" w:after="0"/>
      </w:pPr>
      <w:r>
        <w:continuationSeparator/>
      </w:r>
    </w:p>
  </w:endnote>
  <w:endnote w:type="continuationNotice" w:id="1">
    <w:p w:rsidR="00FA46A4" w:rsidRDefault="00FA46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2E" w:rsidRPr="00C67E2E" w:rsidRDefault="00C67E2E" w:rsidP="00C67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A4" w:rsidRPr="00C67E2E" w:rsidRDefault="00C67E2E" w:rsidP="00C67E2E">
    <w:pPr>
      <w:pStyle w:val="Footer"/>
      <w:rPr>
        <w:rFonts w:ascii="Arial" w:hAnsi="Arial" w:cs="Arial"/>
        <w:b/>
        <w:sz w:val="48"/>
      </w:rPr>
    </w:pPr>
    <w:r w:rsidRPr="00C67E2E">
      <w:rPr>
        <w:rFonts w:ascii="Arial" w:hAnsi="Arial" w:cs="Arial"/>
        <w:b/>
        <w:sz w:val="48"/>
      </w:rPr>
      <w:t>EL</w:t>
    </w:r>
    <w:r w:rsidRPr="00C67E2E">
      <w:rPr>
        <w:rFonts w:ascii="Arial" w:hAnsi="Arial" w:cs="Arial"/>
        <w:b/>
        <w:sz w:val="48"/>
      </w:rPr>
      <w:tab/>
    </w:r>
    <w:r w:rsidRPr="00C67E2E">
      <w:rPr>
        <w:rFonts w:ascii="Arial" w:hAnsi="Arial" w:cs="Arial"/>
        <w:b/>
        <w:sz w:val="48"/>
      </w:rPr>
      <w:tab/>
    </w:r>
    <w:fldSimple w:instr=" DOCVARIABLE &quot;LW_Confidence&quot; \* MERGEFORMAT ">
      <w:r>
        <w:t xml:space="preserve"> </w:t>
      </w:r>
    </w:fldSimple>
    <w:r w:rsidRPr="00C67E2E">
      <w:tab/>
    </w:r>
    <w:proofErr w:type="spellStart"/>
    <w:r w:rsidRPr="00C67E2E">
      <w:rPr>
        <w:rFonts w:ascii="Arial" w:hAnsi="Arial" w:cs="Arial"/>
        <w:b/>
        <w:sz w:val="48"/>
      </w:rPr>
      <w:t>EL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2E" w:rsidRPr="00C67E2E" w:rsidRDefault="00C67E2E" w:rsidP="00C67E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2E" w:rsidRPr="00C67E2E" w:rsidRDefault="00C67E2E" w:rsidP="00C67E2E">
    <w:pPr>
      <w:pStyle w:val="Footer"/>
      <w:rPr>
        <w:rFonts w:ascii="Arial" w:hAnsi="Arial" w:cs="Arial"/>
        <w:b/>
        <w:sz w:val="48"/>
      </w:rPr>
    </w:pPr>
    <w:r w:rsidRPr="00C67E2E">
      <w:rPr>
        <w:rFonts w:ascii="Arial" w:hAnsi="Arial" w:cs="Arial"/>
        <w:b/>
        <w:sz w:val="48"/>
      </w:rPr>
      <w:t>EL</w:t>
    </w:r>
    <w:r w:rsidRPr="00C67E2E">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C67E2E">
      <w:tab/>
    </w:r>
    <w:r w:rsidRPr="00C67E2E">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2E" w:rsidRPr="00C67E2E" w:rsidRDefault="00C67E2E" w:rsidP="00C67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A4" w:rsidRDefault="00C67E2E">
      <w:pPr>
        <w:spacing w:before="0" w:after="0"/>
      </w:pPr>
      <w:r>
        <w:separator/>
      </w:r>
    </w:p>
  </w:footnote>
  <w:footnote w:type="continuationSeparator" w:id="0">
    <w:p w:rsidR="00FA46A4" w:rsidRDefault="00C67E2E">
      <w:pPr>
        <w:spacing w:before="0" w:after="0"/>
      </w:pPr>
      <w:r>
        <w:continuationSeparator/>
      </w:r>
    </w:p>
  </w:footnote>
  <w:footnote w:type="continuationNotice" w:id="1">
    <w:p w:rsidR="00FA46A4" w:rsidRDefault="00FA46A4">
      <w:pPr>
        <w:spacing w:before="0" w:after="0"/>
      </w:pPr>
    </w:p>
  </w:footnote>
  <w:footnote w:id="2">
    <w:p w:rsidR="00FA46A4" w:rsidRDefault="00C67E2E">
      <w:pPr>
        <w:pStyle w:val="FootnoteText"/>
      </w:pPr>
      <w:r>
        <w:rPr>
          <w:rStyle w:val="FootnoteReference"/>
        </w:rPr>
        <w:footnoteRef/>
      </w:r>
      <w:r>
        <w:tab/>
        <w:t>ΕΕ L 209 της 2.8.1997, σ. 1.</w:t>
      </w:r>
    </w:p>
  </w:footnote>
  <w:footnote w:id="3">
    <w:p w:rsidR="00FA46A4" w:rsidRDefault="00C67E2E">
      <w:pPr>
        <w:pStyle w:val="FootnoteText"/>
      </w:pPr>
      <w:r>
        <w:rPr>
          <w:rStyle w:val="FootnoteReference"/>
        </w:rPr>
        <w:footnoteRef/>
      </w:r>
      <w:r>
        <w:tab/>
      </w:r>
      <w:r>
        <w:t>ΕΕ L 306 της 23.11.2011, σ. 25.</w:t>
      </w:r>
    </w:p>
  </w:footnote>
  <w:footnote w:id="4">
    <w:p w:rsidR="00FA46A4" w:rsidRDefault="00C67E2E">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w:t>
      </w:r>
      <w:r>
        <w:t xml:space="preserve">502 </w:t>
      </w:r>
      <w:proofErr w:type="spellStart"/>
      <w:r>
        <w:t>final</w:t>
      </w:r>
      <w:bookmarkStart w:id="0" w:name="_GoBack"/>
      <w:bookmarkEnd w:id="0"/>
      <w:proofErr w:type="spellEnd"/>
      <w:r>
        <w:rPr>
          <w:lang w:val="pt-PT"/>
        </w:rPr>
        <w:t>.</w:t>
      </w:r>
    </w:p>
  </w:footnote>
  <w:footnote w:id="5">
    <w:p w:rsidR="00FA46A4" w:rsidRDefault="00C67E2E">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 xml:space="preserve">)0038, P8_ TA(2017)0039 </w:t>
      </w:r>
      <w:r>
        <w:t>και</w:t>
      </w:r>
      <w:r>
        <w:rPr>
          <w:lang w:val="pt-PT"/>
        </w:rPr>
        <w:t xml:space="preserve"> P8_ TA(2017)0040.</w:t>
      </w:r>
    </w:p>
  </w:footnote>
  <w:footnote w:id="6">
    <w:p w:rsidR="00FA46A4" w:rsidRDefault="00C67E2E">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7">
    <w:p w:rsidR="00FA46A4" w:rsidRDefault="00C67E2E">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8">
    <w:p w:rsidR="00FA46A4" w:rsidRDefault="00C67E2E">
      <w:pPr>
        <w:pStyle w:val="FootnoteText"/>
        <w:rPr>
          <w:lang w:val="pt-PT"/>
        </w:rPr>
      </w:pPr>
      <w:r>
        <w:rPr>
          <w:rStyle w:val="FootnoteReference"/>
        </w:rPr>
        <w:footnoteRef/>
      </w:r>
      <w:r>
        <w:rPr>
          <w:lang w:val="pt-PT"/>
        </w:rPr>
        <w:tab/>
      </w:r>
      <w:proofErr w:type="gramStart"/>
      <w:r>
        <w:rPr>
          <w:lang w:val="pt-PT"/>
        </w:rPr>
        <w:t>SWD(2017</w:t>
      </w:r>
      <w:proofErr w:type="gramEnd"/>
      <w:r>
        <w:rPr>
          <w:lang w:val="pt-PT"/>
        </w:rPr>
        <w:t>) 68 final/3.</w:t>
      </w:r>
    </w:p>
  </w:footnote>
  <w:footnote w:id="9">
    <w:p w:rsidR="00FA46A4" w:rsidRDefault="00C67E2E">
      <w:pPr>
        <w:pStyle w:val="FootnoteText"/>
        <w:tabs>
          <w:tab w:val="left" w:pos="709"/>
        </w:tabs>
        <w:rPr>
          <w:lang w:val="pt-PT"/>
        </w:rPr>
      </w:pPr>
      <w:r>
        <w:rPr>
          <w:rStyle w:val="FootnoteReference"/>
        </w:rPr>
        <w:footnoteRef/>
      </w:r>
      <w:r>
        <w:rPr>
          <w:lang w:val="pt-PT"/>
        </w:rPr>
        <w:tab/>
      </w:r>
      <w:proofErr w:type="gramStart"/>
      <w:r>
        <w:rPr>
          <w:lang w:val="pt-PT"/>
        </w:rPr>
        <w:t>COM(2017</w:t>
      </w:r>
      <w:proofErr w:type="gramEnd"/>
      <w:r>
        <w:rPr>
          <w:lang w:val="pt-PT"/>
        </w:rPr>
        <w:t>) 90 final.</w:t>
      </w:r>
    </w:p>
  </w:footnote>
  <w:footnote w:id="10">
    <w:p w:rsidR="00FA46A4" w:rsidRDefault="00C67E2E">
      <w:pPr>
        <w:pStyle w:val="FootnoteText"/>
      </w:pPr>
      <w:r>
        <w:rPr>
          <w:rStyle w:val="FootnoteReference"/>
        </w:rPr>
        <w:footnoteRef/>
      </w:r>
      <w:r>
        <w:tab/>
      </w:r>
      <w:r>
        <w:t>Άρθρο 23 του κανονισμού (ΕΕ) αριθ. 1303/2013 του Ευρωπαϊκού Κοινοβουλίου και του Συμβουλίου, της 17ης Δεκεμβρίου 2013, περί καθορισμού κοινών δ</w:t>
      </w:r>
      <w:r>
        <w:t>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w:t>
      </w:r>
      <w:r>
        <w:t xml:space="preserve">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 του Συμβουλίου, ΕΕ L 347 της 20.12.2013, σ. 320.</w:t>
      </w:r>
    </w:p>
  </w:footnote>
  <w:footnote w:id="11">
    <w:p w:rsidR="00FA46A4" w:rsidRDefault="00C67E2E">
      <w:pPr>
        <w:pStyle w:val="FootnoteText"/>
        <w:rPr>
          <w:lang w:val="fr-BE"/>
        </w:rPr>
      </w:pPr>
      <w:r>
        <w:rPr>
          <w:rStyle w:val="FootnoteReference"/>
        </w:rPr>
        <w:footnoteRef/>
      </w:r>
      <w:r>
        <w:tab/>
      </w:r>
      <w:r>
        <w:t xml:space="preserve">COM(2014) 494 </w:t>
      </w:r>
      <w:proofErr w:type="spellStart"/>
      <w:r>
        <w:t>final</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2E" w:rsidRPr="00C67E2E" w:rsidRDefault="00C67E2E" w:rsidP="00C67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2E" w:rsidRPr="00C67E2E" w:rsidRDefault="00C67E2E" w:rsidP="00C67E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2E" w:rsidRPr="00C67E2E" w:rsidRDefault="00C67E2E" w:rsidP="00C67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5:27: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BCF8F818AAFC40FCB4831CD2C8D8EBB8"/>
    <w:docVar w:name="LW_CROSSREFERENCE" w:val="&lt;UNUSED&gt;"/>
    <w:docVar w:name="LW_DocType" w:val="COM"/>
    <w:docVar w:name="LW_EMISSION" w:val="22.5.2017"/>
    <w:docVar w:name="LW_EMISSION_ISODATE" w:val="2017-05-22"/>
    <w:docVar w:name="LW_EMISSION_LOCATION" w:val="BRX"/>
    <w:docVar w:name="LW_EMISSION_PREFIX" w:val="\u914?\u961?\u965?\u958?\u941?\u955?\u955?\u949?\u962?,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u931?\u973?\u963?\u964?\u945?\u963?\u951? \u947?\u953?\u945?"/>
    <w:docVar w:name="LW_SUPERTITRE" w:val="&lt;UNUSED&gt;"/>
    <w:docVar w:name="LW_TITRE.OBJ.CP" w:val="\u963?\u967?\u949?\u964?\u953?\u954?\u940? \u956?\u949? \u964?\u959? \u949?\u952?\u957?\u953?\u954?\u972? \u960?\u961?\u972?\u947?\u961?\u945?\u956?\u956?\u945? \u956?\u949?\u964?\u945?\u961?\u961?\u965?\u952?\u956?\u943?\u963?\u949?\u969?\u957? \u964?\u951?\u962? \u914?\u959?\u965?\u955?\u947?\u945?\u961?\u943?\u945?\u962? \u947?\u953?\u945? \u964?\u959? 2017 _x000b__x000b_\u954?\u945?\u953? \u964?\u951? \u948?\u953?\u945?\u964?\u973?\u960?\u969?\u963?\u951? \u947?\u957?\u974?\u956?\u951?\u962? \u964?\u959?\u965? \u931?\u965?\u956?\u946?\u959?\u965?\u955?\u943?\u959?\u965? \u963?\u967?\u949?\u964?\u953?\u954?\u940? \u956?\u949? \u964?\u959? \u960?\u961?\u972?\u947?\u961?\u945?\u956?\u956?\u945? \u963?\u973?\u947?\u954?\u955?\u953?\u963?\u951?\u962? \u964?\u951?\u962? \u914?\u959?\u965?\u955?\u947?\u945?\u961?\u943?\u945?\u962? \u947?\u953?\u945? \u964?\u959? 2017"/>
    <w:docVar w:name="LW_TYPE.DOC.CP" w:val="\u931?\u933?\u931?\u932?\u913?\u931?\u919? \u932?\u927?\u933? \u931?\u933?\u924?\u914?\u927?\u933?\u923?\u921?\u927?\u933?"/>
  </w:docVars>
  <w:rsids>
    <w:rsidRoot w:val="00FA46A4"/>
    <w:rsid w:val="00C67E2E"/>
    <w:rsid w:val="00FA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styleId="Header">
    <w:name w:val="header"/>
    <w:basedOn w:val="Normal"/>
    <w:link w:val="HeaderChar"/>
    <w:uiPriority w:val="99"/>
    <w:unhideWhenUsed/>
    <w:rsid w:val="00C67E2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67E2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67E2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styleId="Header">
    <w:name w:val="header"/>
    <w:basedOn w:val="Normal"/>
    <w:link w:val="HeaderChar"/>
    <w:uiPriority w:val="99"/>
    <w:unhideWhenUsed/>
    <w:rsid w:val="00C67E2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67E2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67E2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8</Pages>
  <Words>2966</Words>
  <Characters>18094</Characters>
  <Application>Microsoft Office Word</Application>
  <DocSecurity>0</DocSecurity>
  <Lines>306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2017-05-28T17:16:00Z</dcterms:created>
  <dcterms:modified xsi:type="dcterms:W3CDTF">2017-05-30T13:45:00Z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