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7E" w:rsidRPr="00B1734C" w:rsidRDefault="0040127E" w:rsidP="00446831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B1734C">
        <w:rPr>
          <w:rFonts w:ascii="Arial" w:hAnsi="Arial" w:cs="Arial"/>
          <w:b/>
          <w:color w:val="000000"/>
          <w:sz w:val="28"/>
          <w:szCs w:val="28"/>
        </w:rPr>
        <w:t>South Dakota Department of Transportation</w:t>
      </w:r>
    </w:p>
    <w:p w:rsidR="0040127E" w:rsidRPr="00B1734C" w:rsidRDefault="0040127E" w:rsidP="00446831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1734C">
        <w:rPr>
          <w:rFonts w:ascii="Arial" w:hAnsi="Arial" w:cs="Arial"/>
          <w:b/>
          <w:color w:val="000000"/>
          <w:sz w:val="28"/>
          <w:szCs w:val="28"/>
        </w:rPr>
        <w:t>Title VI Program</w:t>
      </w:r>
      <w:r w:rsidR="00B1734C">
        <w:rPr>
          <w:rFonts w:ascii="Arial" w:hAnsi="Arial" w:cs="Arial"/>
          <w:b/>
          <w:color w:val="000000"/>
          <w:sz w:val="28"/>
          <w:szCs w:val="28"/>
        </w:rPr>
        <w:t xml:space="preserve"> -- </w:t>
      </w:r>
      <w:r w:rsidRPr="00B1734C">
        <w:rPr>
          <w:rFonts w:ascii="Arial" w:hAnsi="Arial" w:cs="Arial"/>
          <w:b/>
          <w:color w:val="000000"/>
          <w:sz w:val="28"/>
          <w:szCs w:val="28"/>
        </w:rPr>
        <w:t>Pre-Award Assurance Checklist</w:t>
      </w: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 w:rsidRPr="00446831">
        <w:rPr>
          <w:rFonts w:ascii="Arial" w:hAnsi="Arial" w:cs="Arial"/>
          <w:color w:val="000000"/>
          <w:sz w:val="20"/>
          <w:szCs w:val="22"/>
        </w:rPr>
        <w:t>This assurance checklist must be completed, signe</w:t>
      </w:r>
      <w:r w:rsidR="009265C6" w:rsidRPr="00446831">
        <w:rPr>
          <w:rFonts w:ascii="Arial" w:hAnsi="Arial" w:cs="Arial"/>
          <w:color w:val="000000"/>
          <w:sz w:val="20"/>
          <w:szCs w:val="22"/>
        </w:rPr>
        <w:t>d, and returned to the SDDOT Civil Rights</w:t>
      </w:r>
      <w:r w:rsidR="00446831" w:rsidRPr="00446831">
        <w:rPr>
          <w:rFonts w:ascii="Arial" w:hAnsi="Arial" w:cs="Arial"/>
          <w:color w:val="000000"/>
          <w:sz w:val="20"/>
          <w:szCs w:val="22"/>
        </w:rPr>
        <w:t xml:space="preserve"> Program</w:t>
      </w:r>
      <w:r w:rsidRPr="00446831">
        <w:rPr>
          <w:rFonts w:ascii="Arial" w:hAnsi="Arial" w:cs="Arial"/>
          <w:color w:val="000000"/>
          <w:sz w:val="20"/>
          <w:szCs w:val="22"/>
        </w:rPr>
        <w:t xml:space="preserve"> as part of your funding process. Below are the requirements to assure non-discrimination in local public agencies (LPA) transportation projects. This checklist also serves as a preview </w:t>
      </w:r>
      <w:r w:rsidR="00446831" w:rsidRPr="00446831">
        <w:rPr>
          <w:rFonts w:ascii="Arial" w:hAnsi="Arial" w:cs="Arial"/>
          <w:color w:val="000000"/>
          <w:sz w:val="20"/>
          <w:szCs w:val="22"/>
        </w:rPr>
        <w:t>of</w:t>
      </w:r>
      <w:r w:rsidRPr="00446831">
        <w:rPr>
          <w:rFonts w:ascii="Arial" w:hAnsi="Arial" w:cs="Arial"/>
          <w:color w:val="000000"/>
          <w:sz w:val="20"/>
          <w:szCs w:val="22"/>
        </w:rPr>
        <w:t xml:space="preserve"> the processes, procedures, policies, and documentation that will be expected at </w:t>
      </w:r>
      <w:r w:rsidR="00446831" w:rsidRPr="00446831">
        <w:rPr>
          <w:rFonts w:ascii="Arial" w:hAnsi="Arial" w:cs="Arial"/>
          <w:color w:val="000000"/>
          <w:sz w:val="20"/>
          <w:szCs w:val="22"/>
        </w:rPr>
        <w:t>a formal Title VI Review</w:t>
      </w:r>
      <w:r w:rsidRPr="00446831">
        <w:rPr>
          <w:rFonts w:ascii="Arial" w:hAnsi="Arial" w:cs="Arial"/>
          <w:color w:val="000000"/>
          <w:sz w:val="20"/>
          <w:szCs w:val="22"/>
        </w:rPr>
        <w:t>.</w:t>
      </w: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40127E" w:rsidRDefault="0040127E" w:rsidP="0044683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 w:rsidRPr="00446831">
        <w:rPr>
          <w:rFonts w:ascii="Arial" w:hAnsi="Arial" w:cs="Arial"/>
          <w:color w:val="000000"/>
          <w:sz w:val="20"/>
          <w:szCs w:val="22"/>
        </w:rPr>
        <w:t>In order to be awarded federal financial assistance, the LPA must certify that it will provide the following information when required, and where applicable in conjunction with reporting requirements and/or a Title VI Review. This checklist also serves to document that the LPA currently has in place, or will be able to implement, where applicable, the following processes and procedures.</w:t>
      </w:r>
      <w:r w:rsidR="00A31866">
        <w:rPr>
          <w:rFonts w:ascii="Arial" w:hAnsi="Arial" w:cs="Arial"/>
          <w:color w:val="000000"/>
          <w:sz w:val="20"/>
          <w:szCs w:val="22"/>
        </w:rPr>
        <w:t xml:space="preserve">  Please note in the “Comments” column any implementation plans.</w:t>
      </w:r>
    </w:p>
    <w:p w:rsidR="008C7351" w:rsidRDefault="008C7351" w:rsidP="0044683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630"/>
        <w:gridCol w:w="540"/>
        <w:gridCol w:w="630"/>
        <w:gridCol w:w="2808"/>
      </w:tblGrid>
      <w:tr w:rsidR="00211FD0" w:rsidRPr="00167525" w:rsidTr="00167525">
        <w:tc>
          <w:tcPr>
            <w:tcW w:w="6408" w:type="dxa"/>
            <w:shd w:val="clear" w:color="auto" w:fill="EEECE1"/>
          </w:tcPr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446831" w:rsidRPr="00167525" w:rsidRDefault="00211FD0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b/>
                <w:bCs/>
                <w:color w:val="000000"/>
              </w:rPr>
              <w:t>Data Collection – A process to collect the following:</w:t>
            </w:r>
          </w:p>
        </w:tc>
        <w:tc>
          <w:tcPr>
            <w:tcW w:w="630" w:type="dxa"/>
            <w:shd w:val="clear" w:color="auto" w:fill="EEECE1"/>
          </w:tcPr>
          <w:p w:rsidR="00211FD0" w:rsidRPr="00167525" w:rsidRDefault="00211FD0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46831" w:rsidRPr="00167525" w:rsidRDefault="00211FD0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EEECE1"/>
          </w:tcPr>
          <w:p w:rsidR="00211FD0" w:rsidRPr="00167525" w:rsidRDefault="00211FD0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46831" w:rsidRPr="00167525" w:rsidRDefault="00211FD0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EEECE1"/>
          </w:tcPr>
          <w:p w:rsidR="00211FD0" w:rsidRPr="00167525" w:rsidRDefault="00211FD0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46831" w:rsidRPr="00167525" w:rsidRDefault="00211FD0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08" w:type="dxa"/>
            <w:shd w:val="clear" w:color="auto" w:fill="EEECE1"/>
          </w:tcPr>
          <w:p w:rsidR="00211FD0" w:rsidRPr="00167525" w:rsidRDefault="00211FD0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446831" w:rsidRPr="00167525" w:rsidRDefault="00211FD0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7525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211FD0" w:rsidRPr="00167525" w:rsidTr="00167525">
        <w:tc>
          <w:tcPr>
            <w:tcW w:w="6408" w:type="dxa"/>
            <w:shd w:val="clear" w:color="auto" w:fill="auto"/>
          </w:tcPr>
          <w:p w:rsidR="00446831" w:rsidRPr="00167525" w:rsidRDefault="00211FD0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Breakdown of LPA employees by race, gender and position held.</w:t>
            </w: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211FD0" w:rsidRPr="00167525" w:rsidTr="00167525">
        <w:tc>
          <w:tcPr>
            <w:tcW w:w="6408" w:type="dxa"/>
            <w:shd w:val="clear" w:color="auto" w:fill="auto"/>
          </w:tcPr>
          <w:p w:rsidR="00446831" w:rsidRPr="00167525" w:rsidRDefault="00211FD0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Number of (SDDOT) federally funded projects awarded or ongoing during the past two years.</w:t>
            </w: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211FD0" w:rsidRPr="00167525" w:rsidTr="00167525">
        <w:tc>
          <w:tcPr>
            <w:tcW w:w="6408" w:type="dxa"/>
            <w:shd w:val="clear" w:color="auto" w:fill="auto"/>
          </w:tcPr>
          <w:p w:rsidR="00446831" w:rsidRPr="00167525" w:rsidRDefault="00211FD0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Log showing Title VI complaints received during past two years (number, how resolved, issues involved) if any.</w:t>
            </w: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211FD0" w:rsidRPr="00167525" w:rsidTr="00167525">
        <w:tc>
          <w:tcPr>
            <w:tcW w:w="6408" w:type="dxa"/>
            <w:shd w:val="clear" w:color="auto" w:fill="auto"/>
          </w:tcPr>
          <w:p w:rsidR="00446831" w:rsidRPr="00167525" w:rsidRDefault="00211FD0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 xml:space="preserve">Attendance at public hearings tracked, broken down by race and gender.  </w:t>
            </w: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211FD0" w:rsidRPr="00167525" w:rsidTr="00167525">
        <w:tc>
          <w:tcPr>
            <w:tcW w:w="6408" w:type="dxa"/>
            <w:shd w:val="clear" w:color="auto" w:fill="auto"/>
          </w:tcPr>
          <w:p w:rsidR="00446831" w:rsidRPr="00167525" w:rsidRDefault="00211FD0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Statistical data collected on race, gender, disability for communities impacted by construction projects.</w:t>
            </w: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211FD0" w:rsidRPr="00167525" w:rsidTr="00167525">
        <w:tc>
          <w:tcPr>
            <w:tcW w:w="6408" w:type="dxa"/>
            <w:shd w:val="clear" w:color="auto" w:fill="auto"/>
          </w:tcPr>
          <w:p w:rsidR="00446831" w:rsidRPr="00167525" w:rsidRDefault="00211FD0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 xml:space="preserve">Statistical data collected on race, gender, and disability for all right-of-way relocatees.  </w:t>
            </w:r>
            <w:r w:rsidRPr="0016752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(Not  Applicable for Transit Providers)</w:t>
            </w: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211FD0" w:rsidRPr="00167525" w:rsidTr="00167525">
        <w:tc>
          <w:tcPr>
            <w:tcW w:w="6408" w:type="dxa"/>
            <w:shd w:val="clear" w:color="auto" w:fill="000000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000000"/>
          </w:tcPr>
          <w:p w:rsidR="00446831" w:rsidRPr="00167525" w:rsidRDefault="0044683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c>
          <w:tcPr>
            <w:tcW w:w="6408" w:type="dxa"/>
            <w:shd w:val="clear" w:color="auto" w:fill="EEECE1"/>
          </w:tcPr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7525">
              <w:rPr>
                <w:rFonts w:ascii="Arial" w:hAnsi="Arial" w:cs="Arial"/>
                <w:b/>
                <w:bCs/>
                <w:color w:val="000000"/>
              </w:rPr>
              <w:t>Staffing:</w:t>
            </w:r>
          </w:p>
        </w:tc>
        <w:tc>
          <w:tcPr>
            <w:tcW w:w="630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08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7525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8C7351" w:rsidRPr="00167525" w:rsidTr="00167525">
        <w:tc>
          <w:tcPr>
            <w:tcW w:w="64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Staff designated to have Title VI coordination responsibilities (in conjunction with other duties).</w:t>
            </w: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c>
          <w:tcPr>
            <w:tcW w:w="6408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c>
          <w:tcPr>
            <w:tcW w:w="6408" w:type="dxa"/>
            <w:shd w:val="clear" w:color="auto" w:fill="EEECE1"/>
          </w:tcPr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b/>
                <w:bCs/>
                <w:color w:val="000000"/>
              </w:rPr>
              <w:t>Policies, Procedures, Processes:</w:t>
            </w:r>
          </w:p>
        </w:tc>
        <w:tc>
          <w:tcPr>
            <w:tcW w:w="630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08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7525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8C7351" w:rsidRPr="00167525" w:rsidTr="00167525">
        <w:tc>
          <w:tcPr>
            <w:tcW w:w="64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Title VI Policy or Policy Statement in place for your organization, signed by the Sponsor.</w:t>
            </w: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rPr>
          <w:trHeight w:val="332"/>
        </w:trPr>
        <w:tc>
          <w:tcPr>
            <w:tcW w:w="64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Proof of public dissemination of Title VI Policy or Policy Statement.</w:t>
            </w: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c>
          <w:tcPr>
            <w:tcW w:w="6408" w:type="dxa"/>
            <w:shd w:val="clear" w:color="auto" w:fill="auto"/>
          </w:tcPr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Process for handling Title VI complaints from the public.</w:t>
            </w: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c>
          <w:tcPr>
            <w:tcW w:w="64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Proof of public dissemination of complaint procedure.</w:t>
            </w: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c>
          <w:tcPr>
            <w:tcW w:w="6408" w:type="dxa"/>
            <w:shd w:val="clear" w:color="auto" w:fill="auto"/>
          </w:tcPr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Planning, public involvement guidelines, and public involvement policies reviewed for compliance with Title VI.</w:t>
            </w: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7A274F" w:rsidRPr="00167525" w:rsidTr="00167525">
        <w:tc>
          <w:tcPr>
            <w:tcW w:w="6408" w:type="dxa"/>
            <w:shd w:val="clear" w:color="auto" w:fill="auto"/>
          </w:tcPr>
          <w:p w:rsidR="007A274F" w:rsidRPr="00167525" w:rsidRDefault="007A274F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Procedures in place to ensure that equal opportunity is being considered in the hiring of employees and the award of contracts/agreements.</w:t>
            </w:r>
          </w:p>
        </w:tc>
        <w:tc>
          <w:tcPr>
            <w:tcW w:w="630" w:type="dxa"/>
            <w:shd w:val="clear" w:color="auto" w:fill="auto"/>
          </w:tcPr>
          <w:p w:rsidR="007A274F" w:rsidRPr="00167525" w:rsidRDefault="007A274F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7A274F" w:rsidRPr="00167525" w:rsidRDefault="007A274F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7A274F" w:rsidRPr="00167525" w:rsidRDefault="007A274F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7A274F" w:rsidRPr="00167525" w:rsidRDefault="007A274F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c>
          <w:tcPr>
            <w:tcW w:w="6408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c>
          <w:tcPr>
            <w:tcW w:w="6408" w:type="dxa"/>
            <w:shd w:val="clear" w:color="auto" w:fill="EEECE1"/>
          </w:tcPr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b/>
                <w:bCs/>
                <w:color w:val="000000"/>
              </w:rPr>
              <w:t>Training:</w:t>
            </w:r>
          </w:p>
        </w:tc>
        <w:tc>
          <w:tcPr>
            <w:tcW w:w="630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08" w:type="dxa"/>
            <w:shd w:val="clear" w:color="auto" w:fill="EEECE1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7525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8C7351" w:rsidRPr="00167525" w:rsidTr="00167525">
        <w:tc>
          <w:tcPr>
            <w:tcW w:w="6408" w:type="dxa"/>
            <w:shd w:val="clear" w:color="auto" w:fill="auto"/>
          </w:tcPr>
          <w:p w:rsidR="008C7351" w:rsidRPr="00167525" w:rsidRDefault="008C7351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Has staff received any Title VI training (formal or informal).*</w:t>
            </w: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C7351" w:rsidRPr="00167525" w:rsidTr="00167525">
        <w:tc>
          <w:tcPr>
            <w:tcW w:w="6408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000000"/>
          </w:tcPr>
          <w:p w:rsidR="008C7351" w:rsidRPr="00167525" w:rsidRDefault="008C7351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EEECE1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b/>
                <w:bCs/>
                <w:color w:val="000000"/>
              </w:rPr>
              <w:t>Contracts &amp; Agreements: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08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7525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LPA-issued contracts/agreements contain Title VI non-discrimination assurances.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EEECE1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b/>
                <w:bCs/>
                <w:color w:val="000000"/>
              </w:rPr>
              <w:lastRenderedPageBreak/>
              <w:t>Planning Activities – Documentation to show (if not performed by SDDOT):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08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7525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Minority members of the community are actively sought out to participate in public hearings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Accessible locations, adequate notice, and language translation services are considered or provided during the coordination of public hearings.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The project for which funding is sought complies in all aspects with the Americans with Disabilities Act and Section 504 of the Rehabilitation Act of 1973.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EEECE1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b/>
                <w:bCs/>
                <w:color w:val="000000"/>
              </w:rPr>
              <w:t>Design/Environmental Activities – Documentation to show (if not performed by SDDOT):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08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7525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Minority members of the community are actively sought out to participate in public hearings.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Accessible locations, adequate notice, and language translations services are considered or provided during the coordination of public hearings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Location and design manuals, directives, operational procedures, guidelines and policies reviewed for Title VI compliance.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EEECE1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b/>
                <w:bCs/>
                <w:color w:val="000000"/>
              </w:rPr>
              <w:t>Right of Way Activities – Documentation to show (if not performed by SDDOT):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08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7525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Title VI language incorporated in all acquisition, negotiation, property management communications and contracts.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Title VI language and assurance statements included in all surveys for property owners and tenants after conclusion of all business.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Values and communications associated with appraisals conducted in an equitable and nondiscriminatory manner.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Deeds, permits, and leases contain Title VI compliance clauses.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000000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EEECE1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b/>
                <w:bCs/>
                <w:color w:val="000000"/>
              </w:rPr>
              <w:t>Construction &amp; Maintenance Activities – Documentation to show (if not performed by SDDOT):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75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08" w:type="dxa"/>
            <w:shd w:val="clear" w:color="auto" w:fill="EEECE1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7525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Contractor selection procedures have been reviewed to ensure uniformity in their application to minority and non-minority contractors.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Minority contractors and subcontractors are informed about contracting opportunities with the LPA.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FF6788" w:rsidRPr="00167525" w:rsidTr="00167525">
        <w:tc>
          <w:tcPr>
            <w:tcW w:w="6408" w:type="dxa"/>
            <w:shd w:val="clear" w:color="auto" w:fill="auto"/>
          </w:tcPr>
          <w:p w:rsidR="00FF6788" w:rsidRPr="00167525" w:rsidRDefault="00FF6788" w:rsidP="0016752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7525">
              <w:rPr>
                <w:rFonts w:ascii="Arial" w:hAnsi="Arial" w:cs="Arial"/>
                <w:color w:val="000000"/>
                <w:sz w:val="20"/>
                <w:szCs w:val="20"/>
              </w:rPr>
              <w:t>Title VI assurances included in all LPA-issued contracts, subcontracts, and material supply agreements.</w:t>
            </w: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:rsidR="00FF6788" w:rsidRPr="00167525" w:rsidRDefault="00FF6788" w:rsidP="001675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446831" w:rsidRPr="00446831" w:rsidRDefault="001D0F12" w:rsidP="0044683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91440</wp:posOffset>
                </wp:positionV>
                <wp:extent cx="2409825" cy="1839595"/>
                <wp:effectExtent l="9525" t="5715" r="952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788" w:rsidRPr="00FF6788" w:rsidRDefault="007A27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FF6788"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ust return a copy of this completed form </w:t>
                            </w:r>
                            <w:r w:rsid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with grant application or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by due date </w:t>
                            </w:r>
                            <w:r w:rsid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directly </w:t>
                            </w:r>
                            <w:r w:rsidR="00FF6788"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to:</w:t>
                            </w: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June D. Hansen, Civil Rights Compliance Officer</w:t>
                            </w: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South Dakota Department of Transportation</w:t>
                            </w: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Office of Legal Counsel</w:t>
                            </w: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700 East Broadway</w:t>
                            </w: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Pierre, SD 57501-2586</w:t>
                            </w: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email:</w:t>
                            </w: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FF6788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june.hansen@state.sd.us</w:t>
                              </w:r>
                            </w:hyperlink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fax:</w:t>
                            </w:r>
                          </w:p>
                          <w:p w:rsidR="00FF6788" w:rsidRPr="00FF6788" w:rsidRDefault="00FF67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7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(605) 773-4442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7.2pt;width:189.75pt;height:1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">
                <v:textbox>
                  <w:txbxContent>
                    <w:p w:rsidR="00FF6788" w:rsidRPr="00FF6788" w:rsidRDefault="007A274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FF6788"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ust return a copy of this completed form </w:t>
                      </w:r>
                      <w:r w:rsid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with grant application or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by due date </w:t>
                      </w:r>
                      <w:r w:rsid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directly </w:t>
                      </w:r>
                      <w:r w:rsidR="00FF6788"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>to:</w:t>
                      </w: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>June D. Hansen, Civil Rights Compliance Officer</w:t>
                      </w: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>South Dakota Department of Transportation</w:t>
                      </w: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>Office of Legal Counsel</w:t>
                      </w: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>700 East Broadway</w:t>
                      </w: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>Pierre, SD 57501-2586</w:t>
                      </w: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>Or email:</w:t>
                      </w: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8" w:history="1">
                        <w:r w:rsidRPr="00FF6788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june.hansen@state.sd.us</w:t>
                        </w:r>
                      </w:hyperlink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>Or fax:</w:t>
                      </w:r>
                    </w:p>
                    <w:p w:rsidR="00FF6788" w:rsidRPr="00FF6788" w:rsidRDefault="00FF67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6788">
                        <w:rPr>
                          <w:rFonts w:ascii="Arial" w:hAnsi="Arial" w:cs="Arial"/>
                          <w:sz w:val="16"/>
                          <w:szCs w:val="16"/>
                        </w:rPr>
                        <w:t>(605) 773-4442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831">
        <w:rPr>
          <w:rFonts w:ascii="Arial" w:hAnsi="Arial" w:cs="Arial"/>
          <w:color w:val="000000"/>
          <w:sz w:val="22"/>
          <w:szCs w:val="22"/>
        </w:rPr>
        <w:t>______________________________________</w:t>
      </w:r>
      <w:r w:rsidR="00FF6788">
        <w:rPr>
          <w:rFonts w:ascii="Arial" w:hAnsi="Arial" w:cs="Arial"/>
          <w:color w:val="000000"/>
          <w:sz w:val="22"/>
          <w:szCs w:val="22"/>
        </w:rPr>
        <w:t>__________________</w:t>
      </w:r>
    </w:p>
    <w:p w:rsidR="0040127E" w:rsidRPr="00446831" w:rsidRDefault="00FF6788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Local Public Agency</w:t>
      </w:r>
      <w:r w:rsidR="0040127E" w:rsidRPr="00446831">
        <w:rPr>
          <w:rFonts w:ascii="Arial" w:hAnsi="Arial" w:cs="Arial"/>
          <w:color w:val="000000"/>
          <w:sz w:val="22"/>
          <w:szCs w:val="22"/>
        </w:rPr>
        <w:t xml:space="preserve"> Name/Phone Number</w:t>
      </w: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0127E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831"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="00FF6788">
        <w:rPr>
          <w:rFonts w:ascii="Arial" w:hAnsi="Arial" w:cs="Arial"/>
          <w:color w:val="000000"/>
          <w:sz w:val="22"/>
          <w:szCs w:val="22"/>
        </w:rPr>
        <w:t>_______________</w:t>
      </w:r>
    </w:p>
    <w:p w:rsidR="004C4E94" w:rsidRPr="00446831" w:rsidRDefault="004C4E94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Signature of duly authorized representative for LPA</w:t>
      </w: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831"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="00FF6788">
        <w:rPr>
          <w:rFonts w:ascii="Arial" w:hAnsi="Arial" w:cs="Arial"/>
          <w:color w:val="000000"/>
          <w:sz w:val="22"/>
          <w:szCs w:val="22"/>
        </w:rPr>
        <w:t>_______________</w:t>
      </w: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831">
        <w:rPr>
          <w:rFonts w:ascii="Arial" w:hAnsi="Arial" w:cs="Arial"/>
          <w:color w:val="000000"/>
          <w:sz w:val="22"/>
          <w:szCs w:val="22"/>
        </w:rPr>
        <w:t>Title</w:t>
      </w:r>
    </w:p>
    <w:p w:rsidR="00FF6788" w:rsidRDefault="00FF6788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831"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="00FF6788">
        <w:rPr>
          <w:rFonts w:ascii="Arial" w:hAnsi="Arial" w:cs="Arial"/>
          <w:color w:val="000000"/>
          <w:sz w:val="22"/>
          <w:szCs w:val="22"/>
        </w:rPr>
        <w:t>_______________</w:t>
      </w: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831">
        <w:rPr>
          <w:rFonts w:ascii="Arial" w:hAnsi="Arial" w:cs="Arial"/>
          <w:color w:val="000000"/>
          <w:sz w:val="22"/>
          <w:szCs w:val="22"/>
        </w:rPr>
        <w:t>Date</w:t>
      </w:r>
    </w:p>
    <w:p w:rsidR="0040127E" w:rsidRPr="00446831" w:rsidRDefault="0040127E" w:rsidP="00446831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0127E" w:rsidRPr="00FF6788" w:rsidRDefault="0040127E" w:rsidP="00FF6788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F6788">
        <w:rPr>
          <w:rFonts w:ascii="Arial" w:hAnsi="Arial" w:cs="Arial"/>
          <w:color w:val="000000"/>
          <w:sz w:val="16"/>
          <w:szCs w:val="16"/>
          <w:highlight w:val="yellow"/>
        </w:rPr>
        <w:t xml:space="preserve">*Title VI training can be provided by the </w:t>
      </w:r>
      <w:r w:rsidR="007925F4" w:rsidRPr="00FF6788">
        <w:rPr>
          <w:rFonts w:ascii="Arial" w:hAnsi="Arial" w:cs="Arial"/>
          <w:color w:val="000000"/>
          <w:sz w:val="16"/>
          <w:szCs w:val="16"/>
          <w:highlight w:val="yellow"/>
        </w:rPr>
        <w:t>SDDOT</w:t>
      </w:r>
      <w:r w:rsidRPr="00FF6788">
        <w:rPr>
          <w:rFonts w:ascii="Arial" w:hAnsi="Arial" w:cs="Arial"/>
          <w:color w:val="000000"/>
          <w:sz w:val="16"/>
          <w:szCs w:val="16"/>
          <w:highlight w:val="yellow"/>
        </w:rPr>
        <w:t xml:space="preserve"> upon request. To discuss training or Title VI</w:t>
      </w:r>
      <w:r w:rsidR="007925F4" w:rsidRPr="00FF6788">
        <w:rPr>
          <w:rFonts w:ascii="Arial" w:hAnsi="Arial" w:cs="Arial"/>
          <w:color w:val="000000"/>
          <w:sz w:val="16"/>
          <w:szCs w:val="16"/>
          <w:highlight w:val="yellow"/>
        </w:rPr>
        <w:t xml:space="preserve"> </w:t>
      </w:r>
      <w:r w:rsidRPr="00FF6788">
        <w:rPr>
          <w:rFonts w:ascii="Arial" w:hAnsi="Arial" w:cs="Arial"/>
          <w:color w:val="000000"/>
          <w:sz w:val="16"/>
          <w:szCs w:val="16"/>
          <w:highlight w:val="yellow"/>
        </w:rPr>
        <w:t xml:space="preserve">requirements, reviews or reports, contact </w:t>
      </w:r>
      <w:r w:rsidR="007925F4" w:rsidRPr="00FF6788">
        <w:rPr>
          <w:rFonts w:ascii="Arial" w:hAnsi="Arial" w:cs="Arial"/>
          <w:color w:val="000000"/>
          <w:sz w:val="16"/>
          <w:szCs w:val="16"/>
          <w:highlight w:val="yellow"/>
        </w:rPr>
        <w:t>June Hansen, Civil Rights Compliance Officer, (605) 773-3540</w:t>
      </w:r>
      <w:r w:rsidRPr="00FF6788">
        <w:rPr>
          <w:rFonts w:ascii="Arial" w:hAnsi="Arial" w:cs="Arial"/>
          <w:color w:val="000000"/>
          <w:sz w:val="16"/>
          <w:szCs w:val="16"/>
          <w:highlight w:val="yellow"/>
        </w:rPr>
        <w:t>, or email</w:t>
      </w:r>
      <w:r w:rsidR="00FF6788">
        <w:rPr>
          <w:rFonts w:ascii="Arial" w:hAnsi="Arial" w:cs="Arial"/>
          <w:color w:val="000000"/>
          <w:sz w:val="16"/>
          <w:szCs w:val="16"/>
          <w:highlight w:val="yellow"/>
        </w:rPr>
        <w:t xml:space="preserve"> </w:t>
      </w:r>
      <w:r w:rsidR="002925E3" w:rsidRPr="00FF6788">
        <w:rPr>
          <w:rFonts w:ascii="Arial" w:hAnsi="Arial" w:cs="Arial"/>
          <w:color w:val="0000FF"/>
          <w:sz w:val="16"/>
          <w:szCs w:val="16"/>
          <w:highlight w:val="yellow"/>
        </w:rPr>
        <w:t>june.hansen@state.sd.us</w:t>
      </w:r>
    </w:p>
    <w:p w:rsidR="00FF6788" w:rsidRDefault="00FF6788" w:rsidP="00446831">
      <w:pPr>
        <w:tabs>
          <w:tab w:val="left" w:pos="720"/>
        </w:tabs>
        <w:rPr>
          <w:rFonts w:ascii="Arial" w:hAnsi="Arial" w:cs="Arial"/>
          <w:sz w:val="12"/>
          <w:szCs w:val="12"/>
        </w:rPr>
      </w:pPr>
    </w:p>
    <w:p w:rsidR="002925E3" w:rsidRPr="00FF6788" w:rsidRDefault="00FF6788" w:rsidP="00446831">
      <w:pPr>
        <w:tabs>
          <w:tab w:val="left" w:pos="720"/>
        </w:tabs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SDDOT acknowledges the Idaho Department of Transportation for the original formation of this document.  </w:t>
      </w:r>
    </w:p>
    <w:sectPr w:rsidR="002925E3" w:rsidRPr="00FF6788" w:rsidSect="00FF6788">
      <w:headerReference w:type="default" r:id="rId9"/>
      <w:footerReference w:type="default" r:id="rId10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0D" w:rsidRDefault="006A160D">
      <w:r>
        <w:separator/>
      </w:r>
    </w:p>
  </w:endnote>
  <w:endnote w:type="continuationSeparator" w:id="0">
    <w:p w:rsidR="006A160D" w:rsidRDefault="006A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88" w:rsidRDefault="00FF6788">
    <w:pPr>
      <w:pStyle w:val="Footer"/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  <w:p w:rsidR="00FF6788" w:rsidRPr="000C33E2" w:rsidRDefault="00FF6788" w:rsidP="00427B4E">
    <w:pPr>
      <w:pStyle w:val="Footer"/>
      <w:jc w:val="right"/>
      <w:rPr>
        <w:rFonts w:ascii="Arial" w:hAnsi="Arial" w:cs="Arial"/>
        <w:sz w:val="16"/>
        <w:szCs w:val="16"/>
      </w:rPr>
    </w:pPr>
    <w:r w:rsidRPr="000C33E2">
      <w:rPr>
        <w:rFonts w:ascii="Arial" w:hAnsi="Arial" w:cs="Arial"/>
        <w:sz w:val="16"/>
        <w:szCs w:val="16"/>
      </w:rPr>
      <w:t xml:space="preserve">Page </w:t>
    </w:r>
    <w:r w:rsidRPr="000C33E2">
      <w:rPr>
        <w:rStyle w:val="PageNumber"/>
        <w:rFonts w:ascii="Arial" w:hAnsi="Arial" w:cs="Arial"/>
        <w:sz w:val="16"/>
        <w:szCs w:val="16"/>
      </w:rPr>
      <w:fldChar w:fldCharType="begin"/>
    </w:r>
    <w:r w:rsidRPr="000C33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C33E2">
      <w:rPr>
        <w:rStyle w:val="PageNumber"/>
        <w:rFonts w:ascii="Arial" w:hAnsi="Arial" w:cs="Arial"/>
        <w:sz w:val="16"/>
        <w:szCs w:val="16"/>
      </w:rPr>
      <w:fldChar w:fldCharType="separate"/>
    </w:r>
    <w:r w:rsidR="001D0F12">
      <w:rPr>
        <w:rStyle w:val="PageNumber"/>
        <w:rFonts w:ascii="Arial" w:hAnsi="Arial" w:cs="Arial"/>
        <w:noProof/>
        <w:sz w:val="16"/>
        <w:szCs w:val="16"/>
      </w:rPr>
      <w:t>1</w:t>
    </w:r>
    <w:r w:rsidRPr="000C33E2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0D" w:rsidRDefault="006A160D">
      <w:r>
        <w:separator/>
      </w:r>
    </w:p>
  </w:footnote>
  <w:footnote w:type="continuationSeparator" w:id="0">
    <w:p w:rsidR="006A160D" w:rsidRDefault="006A1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88" w:rsidRPr="00427B4E" w:rsidRDefault="00FF6788" w:rsidP="00C23C4F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F6788" w:rsidRDefault="00FF6788" w:rsidP="00427B4E">
    <w:pPr>
      <w:pStyle w:val="Header"/>
      <w:tabs>
        <w:tab w:val="clear" w:pos="4320"/>
        <w:tab w:val="clear" w:pos="8640"/>
        <w:tab w:val="left" w:pos="655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7E"/>
    <w:rsid w:val="00003557"/>
    <w:rsid w:val="000C33E2"/>
    <w:rsid w:val="00116F77"/>
    <w:rsid w:val="00167525"/>
    <w:rsid w:val="001D0F12"/>
    <w:rsid w:val="00211FD0"/>
    <w:rsid w:val="002247BA"/>
    <w:rsid w:val="002925E3"/>
    <w:rsid w:val="0040127E"/>
    <w:rsid w:val="00427B4E"/>
    <w:rsid w:val="00446831"/>
    <w:rsid w:val="004C4E94"/>
    <w:rsid w:val="004F3E50"/>
    <w:rsid w:val="0058332D"/>
    <w:rsid w:val="005C5FA6"/>
    <w:rsid w:val="006A160D"/>
    <w:rsid w:val="007151DE"/>
    <w:rsid w:val="007925F4"/>
    <w:rsid w:val="007A274F"/>
    <w:rsid w:val="0081196D"/>
    <w:rsid w:val="008C3174"/>
    <w:rsid w:val="008C7351"/>
    <w:rsid w:val="009265C6"/>
    <w:rsid w:val="00A31866"/>
    <w:rsid w:val="00AE1888"/>
    <w:rsid w:val="00B1734C"/>
    <w:rsid w:val="00BA50B3"/>
    <w:rsid w:val="00C23C4F"/>
    <w:rsid w:val="00D57D9A"/>
    <w:rsid w:val="00E866A8"/>
    <w:rsid w:val="00F33D40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925F4"/>
    <w:rPr>
      <w:color w:val="0000FF"/>
      <w:u w:val="single"/>
    </w:rPr>
  </w:style>
  <w:style w:type="paragraph" w:styleId="Header">
    <w:name w:val="header"/>
    <w:basedOn w:val="Normal"/>
    <w:rsid w:val="00C23C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3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33E2"/>
  </w:style>
  <w:style w:type="table" w:styleId="TableGrid">
    <w:name w:val="Table Grid"/>
    <w:basedOn w:val="TableNormal"/>
    <w:uiPriority w:val="59"/>
    <w:rsid w:val="00446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44683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Grid2">
    <w:name w:val="Medium Grid 2"/>
    <w:basedOn w:val="TableNormal"/>
    <w:uiPriority w:val="68"/>
    <w:rsid w:val="0044683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1">
    <w:name w:val="Medium Grid 1"/>
    <w:basedOn w:val="TableNormal"/>
    <w:uiPriority w:val="67"/>
    <w:rsid w:val="0044683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925F4"/>
    <w:rPr>
      <w:color w:val="0000FF"/>
      <w:u w:val="single"/>
    </w:rPr>
  </w:style>
  <w:style w:type="paragraph" w:styleId="Header">
    <w:name w:val="header"/>
    <w:basedOn w:val="Normal"/>
    <w:rsid w:val="00C23C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3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33E2"/>
  </w:style>
  <w:style w:type="table" w:styleId="TableGrid">
    <w:name w:val="Table Grid"/>
    <w:basedOn w:val="TableNormal"/>
    <w:uiPriority w:val="59"/>
    <w:rsid w:val="00446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44683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Grid2">
    <w:name w:val="Medium Grid 2"/>
    <w:basedOn w:val="TableNormal"/>
    <w:uiPriority w:val="68"/>
    <w:rsid w:val="0044683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1">
    <w:name w:val="Medium Grid 1"/>
    <w:basedOn w:val="TableNormal"/>
    <w:uiPriority w:val="67"/>
    <w:rsid w:val="0044683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e.hansen@state.sd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e.hansen@state.sd.u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FF0144E1.dotm</Template>
  <TotalTime>1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Department of Transportation</vt:lpstr>
    </vt:vector>
  </TitlesOfParts>
  <Company>State of South Dakota</Company>
  <LinksUpToDate>false</LinksUpToDate>
  <CharactersWithSpaces>5332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mailto:june.hansen@state.sd.us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Department of Transportation</dc:title>
  <dc:creator>trpr15103</dc:creator>
  <cp:lastModifiedBy>Sandal, Kristi</cp:lastModifiedBy>
  <cp:revision>2</cp:revision>
  <cp:lastPrinted>2011-09-23T21:15:00Z</cp:lastPrinted>
  <dcterms:created xsi:type="dcterms:W3CDTF">2013-05-30T19:50:00Z</dcterms:created>
  <dcterms:modified xsi:type="dcterms:W3CDTF">2013-05-30T19:50:00Z</dcterms:modified>
</cp:coreProperties>
</file>