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7D" w:rsidRPr="00EF55E5" w:rsidRDefault="0032107D" w:rsidP="0032107D">
      <w:pPr>
        <w:rPr>
          <w:b/>
          <w:color w:val="000000" w:themeColor="text1"/>
        </w:rPr>
      </w:pPr>
      <w:bookmarkStart w:id="0" w:name="_GoBack"/>
      <w:bookmarkEnd w:id="0"/>
      <w:proofErr w:type="gramStart"/>
      <w:r w:rsidRPr="00EF55E5">
        <w:rPr>
          <w:b/>
          <w:color w:val="000000" w:themeColor="text1"/>
        </w:rPr>
        <w:t>S4 Table.</w:t>
      </w:r>
      <w:proofErr w:type="gramEnd"/>
      <w:r w:rsidRPr="00EF55E5">
        <w:rPr>
          <w:b/>
          <w:color w:val="000000" w:themeColor="text1"/>
        </w:rPr>
        <w:t xml:space="preserve"> Multivariable Cox proportional hazards regression analysis demonstrates association of the deep learning system (DLS) with disease-specific survival after adjusting for histologic subtype and grade where available.</w:t>
      </w:r>
    </w:p>
    <w:tbl>
      <w:tblPr>
        <w:tblW w:w="10350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275"/>
        <w:gridCol w:w="855"/>
        <w:gridCol w:w="2025"/>
        <w:gridCol w:w="1395"/>
        <w:gridCol w:w="1185"/>
        <w:gridCol w:w="2445"/>
      </w:tblGrid>
      <w:tr w:rsidR="0032107D" w:rsidRPr="00EF55E5" w:rsidTr="004D0930">
        <w:trPr>
          <w:trHeight w:val="380"/>
        </w:trPr>
        <w:tc>
          <w:tcPr>
            <w:tcW w:w="1170" w:type="dxa"/>
            <w:vMerge w:val="restart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vAlign w:val="center"/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Study</w:t>
            </w:r>
          </w:p>
        </w:tc>
        <w:tc>
          <w:tcPr>
            <w:tcW w:w="4155" w:type="dxa"/>
            <w:gridSpan w:val="3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DLS in multivariable model without subtype/stage</w:t>
            </w:r>
          </w:p>
        </w:tc>
        <w:tc>
          <w:tcPr>
            <w:tcW w:w="5025" w:type="dxa"/>
            <w:gridSpan w:val="3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 xml:space="preserve"> DLS in multivariable model with subtype/stage</w:t>
            </w:r>
          </w:p>
        </w:tc>
      </w:tr>
      <w:tr w:rsidR="0032107D" w:rsidRPr="00EF55E5" w:rsidTr="004D0930">
        <w:trPr>
          <w:trHeight w:val="360"/>
        </w:trPr>
        <w:tc>
          <w:tcPr>
            <w:tcW w:w="1170" w:type="dxa"/>
            <w:vMerge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HR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Baseline variables adjusted for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HR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Baseline variables adjusted for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BLCA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0.75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[0.45, 1.24]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0.2636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0.79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[0.46, 1.34]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0.3780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Grade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BRCA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2.86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[1.42, 5.76]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0.0034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2.53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[1.24, 5.16]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0.0110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Subtype (Ductal, Lobular, Other)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COAD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4.03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[1.92, 8.44]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0.0002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3.98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[1.86, 8.55]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0.0003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Subtype (Adenocarcinoma, Mucinous adenocarcinoma)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 xml:space="preserve"> HNSC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2.32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[1.11, 4.88]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0.0257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2.38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[1.17, 4.86]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0.0170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Grade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KIRC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1.88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[1.23, 2.87]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0.0035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1.79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[1.14, 2.82]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0.0115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Grade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LIHC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2.74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[1.54, 4.86]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0.0006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2.79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[1.56, 4.98]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0.0005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Grade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LUAD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1.35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[0.87, 2.08]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0.1824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1.44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[0.91, 2.26]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0.1160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 xml:space="preserve">Age, Gender, Stage, Subtype (Adenocarcinoma NOS, Mixed subtype, Other) 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LUSC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1.97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[0.90, 4.32]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0.0894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1.97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[0.90, 4.32]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0.0894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OV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1.24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[0.95, 1.63]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0.1157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1.23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[0.93, 1.61]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0.1404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Grade</w:t>
            </w:r>
          </w:p>
        </w:tc>
      </w:tr>
      <w:tr w:rsidR="0032107D" w:rsidRPr="00EF55E5" w:rsidTr="004D0930">
        <w:tc>
          <w:tcPr>
            <w:tcW w:w="1170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STAD</w:t>
            </w:r>
          </w:p>
        </w:tc>
        <w:tc>
          <w:tcPr>
            <w:tcW w:w="127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1.50</w:t>
            </w:r>
          </w:p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[0.85, 2.62]</w:t>
            </w:r>
          </w:p>
        </w:tc>
        <w:tc>
          <w:tcPr>
            <w:tcW w:w="85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widowControl w:val="0"/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0.1602</w:t>
            </w:r>
          </w:p>
        </w:tc>
        <w:tc>
          <w:tcPr>
            <w:tcW w:w="202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24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</w:t>
            </w:r>
          </w:p>
        </w:tc>
        <w:tc>
          <w:tcPr>
            <w:tcW w:w="1395" w:type="dxa"/>
            <w:tcBorders>
              <w:top w:val="single" w:sz="8" w:space="0" w:color="212121"/>
              <w:left w:val="single" w:sz="24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1.65</w:t>
            </w:r>
          </w:p>
          <w:p w:rsidR="0032107D" w:rsidRPr="00EF55E5" w:rsidRDefault="0032107D" w:rsidP="004D0930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[0.91, 3.02]</w:t>
            </w:r>
          </w:p>
        </w:tc>
        <w:tc>
          <w:tcPr>
            <w:tcW w:w="118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0.1013</w:t>
            </w:r>
          </w:p>
        </w:tc>
        <w:tc>
          <w:tcPr>
            <w:tcW w:w="244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07D" w:rsidRPr="00EF55E5" w:rsidRDefault="0032107D" w:rsidP="004D0930">
            <w:pPr>
              <w:shd w:val="clear" w:color="auto" w:fill="FFFFFF"/>
              <w:spacing w:before="200" w:after="200"/>
              <w:jc w:val="right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Age, Gender, Stage, Grade, Subtype (Diffuse, Intestinal)</w:t>
            </w:r>
          </w:p>
        </w:tc>
      </w:tr>
    </w:tbl>
    <w:p w:rsidR="000950B7" w:rsidRDefault="000950B7"/>
    <w:sectPr w:rsidR="0009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DIT" w:val="false"/>
    <w:docVar w:name="WFSI" w:val="false"/>
  </w:docVars>
  <w:rsids>
    <w:rsidRoot w:val="0032107D"/>
    <w:rsid w:val="000950B7"/>
    <w:rsid w:val="0032107D"/>
    <w:rsid w:val="009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7D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7D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 R</dc:creator>
  <cp:lastModifiedBy>Baranieswaran</cp:lastModifiedBy>
  <cp:revision>2</cp:revision>
  <dcterms:created xsi:type="dcterms:W3CDTF">2020-05-28T09:18:00Z</dcterms:created>
  <dcterms:modified xsi:type="dcterms:W3CDTF">2020-05-29T05:33:00Z</dcterms:modified>
</cp:coreProperties>
</file>